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960C8" w14:textId="78CB5551" w:rsidR="006077F7" w:rsidRPr="000D55A6" w:rsidRDefault="00395510" w:rsidP="0079775B">
      <w:pPr>
        <w:pStyle w:val="Headline"/>
        <w:contextualSpacing/>
      </w:pPr>
      <w:r>
        <w:br/>
      </w:r>
      <w:r w:rsidR="00AF62C1" w:rsidRPr="00C64CA6">
        <w:t xml:space="preserve">CBRE Shopping Centre Index </w:t>
      </w:r>
      <w:r w:rsidR="00647315">
        <w:t>odkrývá kondici tuzemských obchodních center. Ta se od pandemie stále zlepšuje</w:t>
      </w:r>
      <w:r w:rsidR="00155B0A">
        <w:br/>
      </w:r>
    </w:p>
    <w:p w14:paraId="597CA807" w14:textId="12C412EA" w:rsidR="006B0F5B" w:rsidRPr="00523621" w:rsidRDefault="006B0F5B" w:rsidP="006B0F5B">
      <w:pPr>
        <w:pStyle w:val="Headline"/>
        <w:ind w:left="720"/>
        <w:rPr>
          <w:i/>
          <w:iCs/>
          <w:color w:val="425153"/>
          <w:sz w:val="20"/>
          <w:szCs w:val="20"/>
        </w:rPr>
      </w:pPr>
      <w:proofErr w:type="gramStart"/>
      <w:r w:rsidRPr="00523621">
        <w:rPr>
          <w:i/>
          <w:iCs/>
          <w:color w:val="425153"/>
          <w:sz w:val="20"/>
          <w:szCs w:val="20"/>
        </w:rPr>
        <w:t xml:space="preserve">●  </w:t>
      </w:r>
      <w:r w:rsidR="00620EF8" w:rsidRPr="00523621">
        <w:rPr>
          <w:i/>
          <w:iCs/>
          <w:color w:val="425153"/>
          <w:sz w:val="20"/>
          <w:szCs w:val="20"/>
        </w:rPr>
        <w:t>Návštěvnost</w:t>
      </w:r>
      <w:proofErr w:type="gramEnd"/>
      <w:r w:rsidR="00620EF8" w:rsidRPr="00523621">
        <w:rPr>
          <w:i/>
          <w:iCs/>
          <w:color w:val="425153"/>
          <w:sz w:val="20"/>
          <w:szCs w:val="20"/>
        </w:rPr>
        <w:t xml:space="preserve"> </w:t>
      </w:r>
      <w:r w:rsidR="00E41CC0" w:rsidRPr="00523621">
        <w:rPr>
          <w:i/>
          <w:iCs/>
          <w:color w:val="425153"/>
          <w:sz w:val="20"/>
          <w:szCs w:val="20"/>
        </w:rPr>
        <w:t xml:space="preserve">regionálních </w:t>
      </w:r>
      <w:r w:rsidR="00AF62C1" w:rsidRPr="00523621">
        <w:rPr>
          <w:i/>
          <w:iCs/>
          <w:color w:val="425153"/>
          <w:sz w:val="20"/>
          <w:szCs w:val="20"/>
        </w:rPr>
        <w:t xml:space="preserve">OC </w:t>
      </w:r>
      <w:r w:rsidR="00AC718C" w:rsidRPr="00523621">
        <w:rPr>
          <w:i/>
          <w:iCs/>
          <w:color w:val="425153"/>
          <w:sz w:val="20"/>
          <w:szCs w:val="20"/>
        </w:rPr>
        <w:t xml:space="preserve">vloni </w:t>
      </w:r>
      <w:r w:rsidR="00620EF8" w:rsidRPr="00523621">
        <w:rPr>
          <w:i/>
          <w:iCs/>
          <w:color w:val="425153"/>
          <w:sz w:val="20"/>
          <w:szCs w:val="20"/>
        </w:rPr>
        <w:t xml:space="preserve">meziročně vzrostla o </w:t>
      </w:r>
      <w:r w:rsidR="00BB1388" w:rsidRPr="00523621">
        <w:rPr>
          <w:i/>
          <w:iCs/>
          <w:color w:val="425153"/>
          <w:sz w:val="20"/>
          <w:szCs w:val="20"/>
        </w:rPr>
        <w:t xml:space="preserve">4 </w:t>
      </w:r>
      <w:r w:rsidR="00D1226E" w:rsidRPr="00523621">
        <w:rPr>
          <w:i/>
          <w:iCs/>
          <w:color w:val="425153"/>
          <w:sz w:val="20"/>
          <w:szCs w:val="20"/>
        </w:rPr>
        <w:t>%</w:t>
      </w:r>
      <w:r w:rsidRPr="00523621">
        <w:rPr>
          <w:i/>
          <w:iCs/>
          <w:color w:val="425153"/>
          <w:sz w:val="20"/>
          <w:szCs w:val="20"/>
        </w:rPr>
        <w:t xml:space="preserve">  ●  </w:t>
      </w:r>
      <w:r w:rsidR="003E3C2F" w:rsidRPr="00523621">
        <w:rPr>
          <w:i/>
          <w:iCs/>
          <w:color w:val="425153"/>
          <w:sz w:val="20"/>
          <w:szCs w:val="20"/>
        </w:rPr>
        <w:t>Obraty zaznamenaly</w:t>
      </w:r>
      <w:r w:rsidR="002E6EFC" w:rsidRPr="00523621">
        <w:rPr>
          <w:i/>
          <w:iCs/>
          <w:color w:val="425153"/>
          <w:sz w:val="20"/>
          <w:szCs w:val="20"/>
        </w:rPr>
        <w:t xml:space="preserve"> meziroční</w:t>
      </w:r>
      <w:r w:rsidR="003E3C2F" w:rsidRPr="00523621">
        <w:rPr>
          <w:i/>
          <w:iCs/>
          <w:color w:val="425153"/>
          <w:sz w:val="20"/>
          <w:szCs w:val="20"/>
        </w:rPr>
        <w:t xml:space="preserve"> růst</w:t>
      </w:r>
      <w:r w:rsidR="00BB1388" w:rsidRPr="00523621">
        <w:rPr>
          <w:i/>
          <w:iCs/>
          <w:color w:val="425153"/>
          <w:sz w:val="20"/>
          <w:szCs w:val="20"/>
        </w:rPr>
        <w:t xml:space="preserve"> o 5 %</w:t>
      </w:r>
      <w:r w:rsidRPr="00523621">
        <w:rPr>
          <w:i/>
          <w:iCs/>
          <w:color w:val="425153"/>
          <w:sz w:val="20"/>
          <w:szCs w:val="20"/>
        </w:rPr>
        <w:t xml:space="preserve">  </w:t>
      </w:r>
    </w:p>
    <w:p w14:paraId="57564B1E" w14:textId="43B98BA7" w:rsidR="008A3BF8" w:rsidRPr="00523621" w:rsidRDefault="006B0F5B" w:rsidP="006B0F5B">
      <w:pPr>
        <w:pStyle w:val="Headline"/>
        <w:ind w:left="720"/>
        <w:rPr>
          <w:color w:val="425153"/>
          <w:sz w:val="20"/>
          <w:szCs w:val="20"/>
        </w:rPr>
      </w:pPr>
      <w:proofErr w:type="gramStart"/>
      <w:r w:rsidRPr="00523621">
        <w:rPr>
          <w:i/>
          <w:iCs/>
          <w:color w:val="425153"/>
          <w:sz w:val="20"/>
          <w:szCs w:val="20"/>
        </w:rPr>
        <w:t xml:space="preserve">●  </w:t>
      </w:r>
      <w:r w:rsidR="003E3C2F" w:rsidRPr="00523621">
        <w:rPr>
          <w:i/>
          <w:iCs/>
          <w:color w:val="425153"/>
          <w:sz w:val="20"/>
          <w:szCs w:val="20"/>
        </w:rPr>
        <w:t>Míra</w:t>
      </w:r>
      <w:proofErr w:type="gramEnd"/>
      <w:r w:rsidR="003E3C2F" w:rsidRPr="00523621">
        <w:rPr>
          <w:i/>
          <w:iCs/>
          <w:color w:val="425153"/>
          <w:sz w:val="20"/>
          <w:szCs w:val="20"/>
        </w:rPr>
        <w:t xml:space="preserve"> neobsazenosti nepatrně poklesla z 4,</w:t>
      </w:r>
      <w:r w:rsidR="002E6EFC" w:rsidRPr="00523621">
        <w:rPr>
          <w:i/>
          <w:iCs/>
          <w:color w:val="425153"/>
          <w:sz w:val="20"/>
          <w:szCs w:val="20"/>
        </w:rPr>
        <w:t xml:space="preserve">0 </w:t>
      </w:r>
      <w:r w:rsidR="003E3C2F" w:rsidRPr="00523621">
        <w:rPr>
          <w:i/>
          <w:iCs/>
          <w:color w:val="425153"/>
          <w:sz w:val="20"/>
          <w:szCs w:val="20"/>
        </w:rPr>
        <w:t xml:space="preserve">na </w:t>
      </w:r>
      <w:r w:rsidR="00BB1388" w:rsidRPr="00523621">
        <w:rPr>
          <w:i/>
          <w:iCs/>
          <w:color w:val="425153"/>
          <w:sz w:val="20"/>
          <w:szCs w:val="20"/>
        </w:rPr>
        <w:t>3,9 %</w:t>
      </w:r>
      <w:r w:rsidRPr="00523621">
        <w:rPr>
          <w:i/>
          <w:iCs/>
          <w:color w:val="425153"/>
          <w:sz w:val="20"/>
          <w:szCs w:val="20"/>
        </w:rPr>
        <w:t xml:space="preserve">  ●  </w:t>
      </w:r>
      <w:r w:rsidR="00BB1388" w:rsidRPr="00523621">
        <w:rPr>
          <w:i/>
          <w:iCs/>
          <w:color w:val="425153"/>
          <w:sz w:val="20"/>
          <w:szCs w:val="20"/>
        </w:rPr>
        <w:t>Průměrné n</w:t>
      </w:r>
      <w:r w:rsidR="008A3BF8" w:rsidRPr="00523621">
        <w:rPr>
          <w:i/>
          <w:iCs/>
          <w:color w:val="425153"/>
          <w:sz w:val="20"/>
          <w:szCs w:val="20"/>
        </w:rPr>
        <w:t xml:space="preserve">ájemné </w:t>
      </w:r>
      <w:r w:rsidRPr="00523621">
        <w:rPr>
          <w:i/>
          <w:iCs/>
          <w:color w:val="425153"/>
          <w:sz w:val="20"/>
          <w:szCs w:val="20"/>
        </w:rPr>
        <w:t xml:space="preserve">meziročně </w:t>
      </w:r>
      <w:r w:rsidR="003E3C2F" w:rsidRPr="00523621">
        <w:rPr>
          <w:i/>
          <w:iCs/>
          <w:color w:val="425153"/>
          <w:sz w:val="20"/>
          <w:szCs w:val="20"/>
        </w:rPr>
        <w:t xml:space="preserve">vzrostlo o </w:t>
      </w:r>
      <w:r w:rsidR="00BB1388" w:rsidRPr="00523621">
        <w:rPr>
          <w:i/>
          <w:iCs/>
          <w:color w:val="425153"/>
          <w:sz w:val="20"/>
          <w:szCs w:val="20"/>
        </w:rPr>
        <w:t>7</w:t>
      </w:r>
      <w:r w:rsidR="003E3C2F" w:rsidRPr="00523621">
        <w:rPr>
          <w:i/>
          <w:iCs/>
          <w:color w:val="425153"/>
          <w:sz w:val="20"/>
          <w:szCs w:val="20"/>
        </w:rPr>
        <w:t>,9 %</w:t>
      </w:r>
    </w:p>
    <w:p w14:paraId="7EE08514" w14:textId="1740AB53" w:rsidR="02C1C5E2" w:rsidRPr="000D55A6" w:rsidRDefault="02C1C5E2" w:rsidP="02C1C5E2">
      <w:pPr>
        <w:pStyle w:val="Headline"/>
        <w:rPr>
          <w:color w:val="425153"/>
        </w:rPr>
      </w:pPr>
    </w:p>
    <w:p w14:paraId="3A590459" w14:textId="7FFF7BB3" w:rsidR="00B33E25" w:rsidRDefault="065FC1AA" w:rsidP="00DA2BAC">
      <w:pPr>
        <w:pStyle w:val="BodyCopy"/>
        <w:jc w:val="both"/>
      </w:pPr>
      <w:r w:rsidRPr="7E0C5FA1">
        <w:rPr>
          <w:b/>
          <w:bCs/>
        </w:rPr>
        <w:t>Praha –</w:t>
      </w:r>
      <w:r w:rsidR="2FE8DF6A" w:rsidRPr="7E0C5FA1">
        <w:rPr>
          <w:b/>
          <w:bCs/>
        </w:rPr>
        <w:t xml:space="preserve"> </w:t>
      </w:r>
      <w:r w:rsidR="00B93F0B" w:rsidRPr="00F3010C">
        <w:rPr>
          <w:b/>
          <w:bCs/>
        </w:rPr>
        <w:t>29</w:t>
      </w:r>
      <w:r w:rsidR="3FE55DA6" w:rsidRPr="7E0C5FA1">
        <w:rPr>
          <w:b/>
          <w:bCs/>
        </w:rPr>
        <w:t xml:space="preserve">. </w:t>
      </w:r>
      <w:r w:rsidR="00A06FCA">
        <w:rPr>
          <w:b/>
          <w:bCs/>
        </w:rPr>
        <w:t>května</w:t>
      </w:r>
      <w:r w:rsidR="34C96A6D" w:rsidRPr="7E0C5FA1">
        <w:rPr>
          <w:b/>
          <w:bCs/>
        </w:rPr>
        <w:t xml:space="preserve"> 202</w:t>
      </w:r>
      <w:r w:rsidR="00B93F0B">
        <w:rPr>
          <w:b/>
          <w:bCs/>
        </w:rPr>
        <w:t>4</w:t>
      </w:r>
      <w:r w:rsidRPr="7E0C5FA1">
        <w:rPr>
          <w:b/>
          <w:bCs/>
        </w:rPr>
        <w:t xml:space="preserve"> </w:t>
      </w:r>
      <w:r w:rsidR="24043D81">
        <w:t>–</w:t>
      </w:r>
      <w:r w:rsidR="00DA2BAC">
        <w:t xml:space="preserve"> </w:t>
      </w:r>
      <w:r w:rsidR="00647315">
        <w:t>Zatímco v</w:t>
      </w:r>
      <w:r w:rsidR="009F4BAB">
        <w:t xml:space="preserve">loni </w:t>
      </w:r>
      <w:r w:rsidR="00647315">
        <w:t>se kamenné obchody ještě vyrovnávaly s</w:t>
      </w:r>
      <w:r w:rsidR="00260CE6">
        <w:t xml:space="preserve"> negativními </w:t>
      </w:r>
      <w:r w:rsidR="00647315">
        <w:t>dopady pandemie koronaviru</w:t>
      </w:r>
      <w:r w:rsidR="002E6EFC">
        <w:t xml:space="preserve"> a nepříznivou ekonomickou situací</w:t>
      </w:r>
      <w:r w:rsidR="00647315">
        <w:t>, první čtvrtletí letošního roku již dává tušit, že</w:t>
      </w:r>
      <w:r w:rsidR="00D96DE6">
        <w:t> </w:t>
      </w:r>
      <w:r w:rsidR="00647315">
        <w:t>tuzemský retail má náročné období za sebou.</w:t>
      </w:r>
      <w:r w:rsidR="00260CE6">
        <w:t xml:space="preserve"> </w:t>
      </w:r>
      <w:r w:rsidR="00DA2BAC">
        <w:t>Je potěšující, že začátek roku 2024 přin</w:t>
      </w:r>
      <w:r w:rsidR="00B33E25">
        <w:t>esl</w:t>
      </w:r>
      <w:r w:rsidR="00DA2BAC">
        <w:t xml:space="preserve"> do</w:t>
      </w:r>
      <w:r w:rsidR="00D96DE6">
        <w:t> </w:t>
      </w:r>
      <w:r w:rsidR="00DA2BAC">
        <w:t>maloobchodu nejen v</w:t>
      </w:r>
      <w:r w:rsidR="00B33E25">
        <w:t> </w:t>
      </w:r>
      <w:r w:rsidR="00DA2BAC">
        <w:t>Č</w:t>
      </w:r>
      <w:r w:rsidR="00B33E25">
        <w:t>eské republice</w:t>
      </w:r>
      <w:r w:rsidR="00DA2BAC">
        <w:t>, ale</w:t>
      </w:r>
      <w:r w:rsidR="0023407C">
        <w:t> </w:t>
      </w:r>
      <w:r w:rsidR="00DA2BAC">
        <w:t>i</w:t>
      </w:r>
      <w:r w:rsidR="0023407C">
        <w:t> </w:t>
      </w:r>
      <w:r w:rsidR="00DA2BAC">
        <w:t>v</w:t>
      </w:r>
      <w:r w:rsidR="0023407C">
        <w:t> </w:t>
      </w:r>
      <w:r w:rsidR="00DA2BAC">
        <w:t xml:space="preserve">Evropě opatrný optimismus. </w:t>
      </w:r>
      <w:r w:rsidR="00B33E25">
        <w:t xml:space="preserve">Společnost </w:t>
      </w:r>
      <w:r w:rsidR="00B33E25" w:rsidRPr="00B33E25">
        <w:t>CBRE, lídr v</w:t>
      </w:r>
      <w:r w:rsidR="00D96DE6">
        <w:t> </w:t>
      </w:r>
      <w:r w:rsidR="00B33E25" w:rsidRPr="00B33E25">
        <w:t xml:space="preserve">oblasti správy a pronájmu maloobchodních prostor, </w:t>
      </w:r>
      <w:r w:rsidR="00B33E25">
        <w:t xml:space="preserve">se </w:t>
      </w:r>
      <w:r w:rsidR="00B33E25" w:rsidRPr="00B33E25">
        <w:t>ve své analýze Shopping Centre Index</w:t>
      </w:r>
      <w:r w:rsidR="00B33E25">
        <w:t xml:space="preserve"> ohlíží za</w:t>
      </w:r>
      <w:r w:rsidR="00D96DE6">
        <w:t> </w:t>
      </w:r>
      <w:r w:rsidR="003E1E89">
        <w:t xml:space="preserve">výkonností </w:t>
      </w:r>
      <w:r w:rsidR="002574E4">
        <w:t xml:space="preserve">regionálních </w:t>
      </w:r>
      <w:r w:rsidR="003E1E89">
        <w:t>obchodních center v</w:t>
      </w:r>
      <w:r w:rsidR="0023407C">
        <w:t> </w:t>
      </w:r>
      <w:r w:rsidR="00B33E25">
        <w:t>uplynul</w:t>
      </w:r>
      <w:r w:rsidR="003E1E89">
        <w:t>ém</w:t>
      </w:r>
      <w:r w:rsidR="00B33E25">
        <w:t xml:space="preserve"> ro</w:t>
      </w:r>
      <w:r w:rsidR="003E1E89">
        <w:t>ce</w:t>
      </w:r>
      <w:r w:rsidR="00B33E25">
        <w:t xml:space="preserve">, kterou doplňuje </w:t>
      </w:r>
      <w:r w:rsidR="003E1E89">
        <w:t>o</w:t>
      </w:r>
      <w:r w:rsidR="006B0788">
        <w:t xml:space="preserve"> </w:t>
      </w:r>
      <w:r w:rsidR="00901A56">
        <w:t>komentář k současné situaci na trhu</w:t>
      </w:r>
      <w:r w:rsidR="00FF771E">
        <w:t xml:space="preserve">. </w:t>
      </w:r>
      <w:r w:rsidR="004333CC">
        <w:t xml:space="preserve">Nechybí ani výsledky </w:t>
      </w:r>
      <w:r w:rsidR="004333CC" w:rsidRPr="004333CC">
        <w:t>aktuální</w:t>
      </w:r>
      <w:r w:rsidR="00FF4EDC">
        <w:t>ho</w:t>
      </w:r>
      <w:r w:rsidR="004333CC" w:rsidRPr="004333CC">
        <w:t xml:space="preserve"> průzkum</w:t>
      </w:r>
      <w:r w:rsidR="00FF4EDC">
        <w:t>u</w:t>
      </w:r>
      <w:r w:rsidR="004333CC" w:rsidRPr="004333CC">
        <w:t xml:space="preserve"> zaměřen</w:t>
      </w:r>
      <w:r w:rsidR="00FF4EDC">
        <w:t>ého</w:t>
      </w:r>
      <w:r w:rsidR="004333CC">
        <w:t xml:space="preserve"> </w:t>
      </w:r>
      <w:r w:rsidR="004333CC" w:rsidRPr="004333CC">
        <w:t xml:space="preserve">na očekávání </w:t>
      </w:r>
      <w:r w:rsidR="00FF4EDC">
        <w:t xml:space="preserve">a strategie </w:t>
      </w:r>
      <w:r w:rsidR="004333CC" w:rsidRPr="004333CC">
        <w:t>maloobchodníků.</w:t>
      </w:r>
      <w:r w:rsidR="004333CC">
        <w:t xml:space="preserve"> </w:t>
      </w:r>
    </w:p>
    <w:p w14:paraId="57BD7E1E" w14:textId="77777777" w:rsidR="00B33E25" w:rsidRDefault="00B33E25" w:rsidP="00DA2BAC">
      <w:pPr>
        <w:pStyle w:val="BodyCopy"/>
        <w:jc w:val="both"/>
      </w:pPr>
    </w:p>
    <w:p w14:paraId="08956891" w14:textId="5162CF18" w:rsidR="00EE4666" w:rsidRDefault="00EE4666" w:rsidP="00EE4666">
      <w:pPr>
        <w:pStyle w:val="BodyCopy"/>
        <w:jc w:val="both"/>
      </w:pPr>
      <w:r w:rsidRPr="00EE4666">
        <w:rPr>
          <w:i/>
          <w:iCs/>
        </w:rPr>
        <w:t>„</w:t>
      </w:r>
      <w:r w:rsidR="000B42DF" w:rsidRPr="00EE4666">
        <w:rPr>
          <w:i/>
          <w:iCs/>
        </w:rPr>
        <w:t xml:space="preserve">Ve vývoji </w:t>
      </w:r>
      <w:r w:rsidR="00F95532">
        <w:rPr>
          <w:i/>
          <w:iCs/>
        </w:rPr>
        <w:t>retailového trhu sehrála</w:t>
      </w:r>
      <w:r w:rsidR="000B42DF" w:rsidRPr="00EE4666">
        <w:rPr>
          <w:i/>
          <w:iCs/>
        </w:rPr>
        <w:t xml:space="preserve"> v</w:t>
      </w:r>
      <w:r w:rsidR="00673FC5">
        <w:rPr>
          <w:i/>
          <w:iCs/>
        </w:rPr>
        <w:t> loňském roce</w:t>
      </w:r>
      <w:r w:rsidR="000B42DF" w:rsidRPr="00EE4666">
        <w:rPr>
          <w:i/>
          <w:iCs/>
        </w:rPr>
        <w:t xml:space="preserve"> </w:t>
      </w:r>
      <w:r w:rsidR="00F95532">
        <w:rPr>
          <w:i/>
          <w:iCs/>
        </w:rPr>
        <w:t xml:space="preserve">významnou </w:t>
      </w:r>
      <w:r w:rsidR="000B42DF" w:rsidRPr="00EE4666">
        <w:rPr>
          <w:i/>
          <w:iCs/>
        </w:rPr>
        <w:t xml:space="preserve">roli </w:t>
      </w:r>
      <w:r w:rsidR="00DA2BAC" w:rsidRPr="00EE4666">
        <w:rPr>
          <w:i/>
          <w:iCs/>
        </w:rPr>
        <w:t>inflace</w:t>
      </w:r>
      <w:r w:rsidR="000B42DF" w:rsidRPr="00EE4666">
        <w:rPr>
          <w:i/>
          <w:iCs/>
        </w:rPr>
        <w:t>. Ta</w:t>
      </w:r>
      <w:r w:rsidR="00DA2BAC" w:rsidRPr="00EE4666">
        <w:rPr>
          <w:i/>
          <w:iCs/>
        </w:rPr>
        <w:t xml:space="preserve"> zaznamenala již druhým rokem </w:t>
      </w:r>
      <w:r w:rsidR="000B42DF" w:rsidRPr="00EE4666">
        <w:rPr>
          <w:i/>
          <w:iCs/>
        </w:rPr>
        <w:t>po sobě</w:t>
      </w:r>
      <w:r w:rsidR="00DA2BAC" w:rsidRPr="00EE4666">
        <w:rPr>
          <w:i/>
          <w:iCs/>
        </w:rPr>
        <w:t xml:space="preserve"> rekordní</w:t>
      </w:r>
      <w:r w:rsidR="000B42DF" w:rsidRPr="00EE4666">
        <w:rPr>
          <w:i/>
          <w:iCs/>
        </w:rPr>
        <w:t xml:space="preserve"> </w:t>
      </w:r>
      <w:r w:rsidR="00DA2BAC" w:rsidRPr="00EE4666">
        <w:rPr>
          <w:i/>
          <w:iCs/>
        </w:rPr>
        <w:t>hodnoty</w:t>
      </w:r>
      <w:r w:rsidR="000B42DF" w:rsidRPr="00EE4666">
        <w:rPr>
          <w:i/>
          <w:iCs/>
        </w:rPr>
        <w:t xml:space="preserve">, a </w:t>
      </w:r>
      <w:r w:rsidR="00DA2BAC" w:rsidRPr="00EE4666">
        <w:rPr>
          <w:i/>
          <w:iCs/>
        </w:rPr>
        <w:t xml:space="preserve">i přes postupné snižování </w:t>
      </w:r>
      <w:r w:rsidR="00C50DA0" w:rsidRPr="00EE4666">
        <w:rPr>
          <w:i/>
          <w:iCs/>
        </w:rPr>
        <w:t xml:space="preserve">se </w:t>
      </w:r>
      <w:r w:rsidR="000B42DF" w:rsidRPr="00EE4666">
        <w:rPr>
          <w:i/>
          <w:iCs/>
        </w:rPr>
        <w:t xml:space="preserve">celoročně </w:t>
      </w:r>
      <w:r w:rsidR="00673FC5">
        <w:rPr>
          <w:i/>
          <w:iCs/>
        </w:rPr>
        <w:t xml:space="preserve">vyhoupla </w:t>
      </w:r>
      <w:r w:rsidR="000B42DF" w:rsidRPr="00EE4666">
        <w:rPr>
          <w:i/>
          <w:iCs/>
        </w:rPr>
        <w:t xml:space="preserve">na </w:t>
      </w:r>
      <w:r w:rsidR="00DA2BAC" w:rsidRPr="00EE4666">
        <w:rPr>
          <w:i/>
          <w:iCs/>
        </w:rPr>
        <w:t>10,7</w:t>
      </w:r>
      <w:r w:rsidR="000B42DF" w:rsidRPr="00EE4666">
        <w:rPr>
          <w:i/>
          <w:iCs/>
        </w:rPr>
        <w:t xml:space="preserve"> </w:t>
      </w:r>
      <w:r w:rsidR="00DA2BAC" w:rsidRPr="00EE4666">
        <w:rPr>
          <w:i/>
          <w:iCs/>
        </w:rPr>
        <w:t xml:space="preserve">%. V důsledku </w:t>
      </w:r>
      <w:r w:rsidR="00901A56">
        <w:rPr>
          <w:i/>
          <w:iCs/>
        </w:rPr>
        <w:t>toho</w:t>
      </w:r>
      <w:r w:rsidR="00DA2BAC" w:rsidRPr="00EE4666">
        <w:rPr>
          <w:i/>
          <w:iCs/>
        </w:rPr>
        <w:t xml:space="preserve"> došlo k poklesu reálných mezd</w:t>
      </w:r>
      <w:r w:rsidR="000B42DF" w:rsidRPr="00EE4666">
        <w:rPr>
          <w:rStyle w:val="Znakapoznpodarou"/>
          <w:i/>
          <w:iCs/>
        </w:rPr>
        <w:footnoteReference w:id="2"/>
      </w:r>
      <w:r w:rsidR="00DA2BAC" w:rsidRPr="00EE4666">
        <w:rPr>
          <w:i/>
          <w:iCs/>
        </w:rPr>
        <w:t xml:space="preserve">, </w:t>
      </w:r>
      <w:r w:rsidR="00673FC5">
        <w:rPr>
          <w:i/>
          <w:iCs/>
        </w:rPr>
        <w:t xml:space="preserve">což </w:t>
      </w:r>
      <w:r w:rsidR="00DA2BAC" w:rsidRPr="00EE4666">
        <w:rPr>
          <w:i/>
          <w:iCs/>
        </w:rPr>
        <w:t>následně ovlivnilo náladu zákazníků</w:t>
      </w:r>
      <w:r w:rsidR="00673FC5">
        <w:rPr>
          <w:i/>
          <w:iCs/>
        </w:rPr>
        <w:t>. Ti z</w:t>
      </w:r>
      <w:r w:rsidR="00C50DA0" w:rsidRPr="00EE4666">
        <w:rPr>
          <w:i/>
          <w:iCs/>
        </w:rPr>
        <w:t xml:space="preserve">ačali šetřit </w:t>
      </w:r>
      <w:r w:rsidR="00F95532">
        <w:rPr>
          <w:i/>
          <w:iCs/>
        </w:rPr>
        <w:t xml:space="preserve">na zboží </w:t>
      </w:r>
      <w:r w:rsidR="00DA2BAC" w:rsidRPr="00EE4666">
        <w:rPr>
          <w:i/>
          <w:iCs/>
        </w:rPr>
        <w:t>zbytné</w:t>
      </w:r>
      <w:r w:rsidR="00F95532">
        <w:rPr>
          <w:i/>
          <w:iCs/>
        </w:rPr>
        <w:t xml:space="preserve"> povahy</w:t>
      </w:r>
      <w:r w:rsidR="00DA2BAC" w:rsidRPr="00EE4666">
        <w:rPr>
          <w:i/>
          <w:iCs/>
        </w:rPr>
        <w:t xml:space="preserve">. </w:t>
      </w:r>
      <w:r w:rsidR="00F95532">
        <w:rPr>
          <w:i/>
          <w:iCs/>
        </w:rPr>
        <w:t>Tento e</w:t>
      </w:r>
      <w:r w:rsidR="00C50DA0" w:rsidRPr="00EE4666">
        <w:rPr>
          <w:i/>
          <w:iCs/>
        </w:rPr>
        <w:t>fekt</w:t>
      </w:r>
      <w:r w:rsidR="00B87570">
        <w:rPr>
          <w:i/>
          <w:iCs/>
        </w:rPr>
        <w:t xml:space="preserve"> spolu s inflací</w:t>
      </w:r>
      <w:r w:rsidR="00C50DA0" w:rsidRPr="00EE4666">
        <w:rPr>
          <w:i/>
          <w:iCs/>
        </w:rPr>
        <w:t xml:space="preserve"> byl </w:t>
      </w:r>
      <w:r w:rsidR="004F59B1">
        <w:rPr>
          <w:i/>
          <w:iCs/>
        </w:rPr>
        <w:t xml:space="preserve">velmi </w:t>
      </w:r>
      <w:r w:rsidR="00C50DA0" w:rsidRPr="00EE4666">
        <w:rPr>
          <w:i/>
          <w:iCs/>
        </w:rPr>
        <w:t>dobře patrný</w:t>
      </w:r>
      <w:r w:rsidR="00DA2BAC" w:rsidRPr="00EE4666">
        <w:rPr>
          <w:i/>
          <w:iCs/>
        </w:rPr>
        <w:t xml:space="preserve"> </w:t>
      </w:r>
      <w:r>
        <w:rPr>
          <w:i/>
          <w:iCs/>
        </w:rPr>
        <w:t>ve</w:t>
      </w:r>
      <w:r w:rsidR="00DA2BAC" w:rsidRPr="00EE4666">
        <w:rPr>
          <w:i/>
          <w:iCs/>
        </w:rPr>
        <w:t xml:space="preserve"> vývoji maloobchodních tržeb. Zatímco nominální tržby se udržovaly v pozitivním růstu, reálné tržby </w:t>
      </w:r>
      <w:r w:rsidR="00C50DA0" w:rsidRPr="00EE4666">
        <w:rPr>
          <w:i/>
          <w:iCs/>
        </w:rPr>
        <w:t>klesaly</w:t>
      </w:r>
      <w:r w:rsidR="00DA2BAC" w:rsidRPr="00EE4666">
        <w:rPr>
          <w:i/>
          <w:iCs/>
        </w:rPr>
        <w:t xml:space="preserve">. Celkově byly dle ČSÚ reálné tržby v poklesu 19 po sobě jdoucích měsíců, a to až do prosince 2023. </w:t>
      </w:r>
      <w:r w:rsidR="00673FC5">
        <w:rPr>
          <w:i/>
          <w:iCs/>
        </w:rPr>
        <w:t>Obdobná</w:t>
      </w:r>
      <w:r w:rsidRPr="00EE4666">
        <w:rPr>
          <w:i/>
          <w:iCs/>
        </w:rPr>
        <w:t xml:space="preserve"> situace přitom panovala</w:t>
      </w:r>
      <w:r w:rsidR="00B87570">
        <w:rPr>
          <w:i/>
          <w:iCs/>
        </w:rPr>
        <w:t>, až</w:t>
      </w:r>
      <w:r w:rsidR="00D96DE6">
        <w:rPr>
          <w:i/>
          <w:iCs/>
        </w:rPr>
        <w:t> </w:t>
      </w:r>
      <w:r w:rsidR="00B87570">
        <w:rPr>
          <w:i/>
          <w:iCs/>
        </w:rPr>
        <w:t>na</w:t>
      </w:r>
      <w:r w:rsidR="00D96DE6">
        <w:rPr>
          <w:i/>
          <w:iCs/>
        </w:rPr>
        <w:t> </w:t>
      </w:r>
      <w:r w:rsidR="00B87570">
        <w:rPr>
          <w:i/>
          <w:iCs/>
        </w:rPr>
        <w:t>výjimky,</w:t>
      </w:r>
      <w:r w:rsidRPr="00EE4666">
        <w:rPr>
          <w:i/>
          <w:iCs/>
        </w:rPr>
        <w:t xml:space="preserve"> i ve zbytku Evrop</w:t>
      </w:r>
      <w:r>
        <w:rPr>
          <w:i/>
          <w:iCs/>
        </w:rPr>
        <w:t>y</w:t>
      </w:r>
      <w:r w:rsidRPr="00EE4666">
        <w:rPr>
          <w:i/>
          <w:iCs/>
        </w:rPr>
        <w:t>,“</w:t>
      </w:r>
      <w:r w:rsidR="004F59B1">
        <w:t xml:space="preserve"> </w:t>
      </w:r>
      <w:r>
        <w:t xml:space="preserve">komentuje </w:t>
      </w:r>
      <w:r w:rsidRPr="00EE4666">
        <w:rPr>
          <w:b/>
          <w:bCs/>
        </w:rPr>
        <w:t>Klára Bejblová, expertka CBRE na průzkum trhu a poradenství v oblasti maloobchodu pro Č</w:t>
      </w:r>
      <w:r w:rsidR="002574E4">
        <w:rPr>
          <w:b/>
          <w:bCs/>
        </w:rPr>
        <w:t xml:space="preserve">R </w:t>
      </w:r>
      <w:r w:rsidRPr="00EE4666">
        <w:rPr>
          <w:b/>
          <w:bCs/>
        </w:rPr>
        <w:t>a region Evropy</w:t>
      </w:r>
      <w:r>
        <w:t>. </w:t>
      </w:r>
    </w:p>
    <w:p w14:paraId="01B9E66A" w14:textId="66D93F24" w:rsidR="00DA2BAC" w:rsidRDefault="00DA2BAC" w:rsidP="00DA2BAC">
      <w:pPr>
        <w:pStyle w:val="BodyCopy"/>
        <w:jc w:val="both"/>
      </w:pPr>
    </w:p>
    <w:p w14:paraId="0582F7F0" w14:textId="325222C0" w:rsidR="004333CC" w:rsidRDefault="00E26802" w:rsidP="004333CC">
      <w:pPr>
        <w:pStyle w:val="BodyCopy"/>
        <w:jc w:val="both"/>
      </w:pPr>
      <w:r w:rsidRPr="00467186">
        <w:rPr>
          <w:b/>
          <w:bCs/>
        </w:rPr>
        <w:t>Vývoj dynamiky návštěvnosti</w:t>
      </w:r>
      <w:r>
        <w:t xml:space="preserve"> </w:t>
      </w:r>
      <w:r w:rsidRPr="000C15A9">
        <w:rPr>
          <w:b/>
          <w:bCs/>
        </w:rPr>
        <w:t>nákupních center</w:t>
      </w:r>
      <w:r>
        <w:t xml:space="preserve"> </w:t>
      </w:r>
      <w:r w:rsidR="009544F7">
        <w:t>zaznamenal</w:t>
      </w:r>
      <w:r w:rsidR="001F3DCC">
        <w:t xml:space="preserve"> v </w:t>
      </w:r>
      <w:r>
        <w:t>porovnání s předpandemickým rokem 2019 mírn</w:t>
      </w:r>
      <w:r w:rsidR="009544F7">
        <w:t>ý</w:t>
      </w:r>
      <w:r>
        <w:t xml:space="preserve"> </w:t>
      </w:r>
      <w:r w:rsidR="001F3DCC">
        <w:t>pokrok</w:t>
      </w:r>
      <w:r w:rsidR="009544F7">
        <w:t>, i když stále nedosahoval jeho hodnot. V</w:t>
      </w:r>
      <w:r w:rsidR="001F3DCC">
        <w:t xml:space="preserve"> meziročním srovnání </w:t>
      </w:r>
      <w:r w:rsidR="009544F7">
        <w:t>se jedn</w:t>
      </w:r>
      <w:r w:rsidR="00CE7F28">
        <w:t>alo</w:t>
      </w:r>
      <w:r w:rsidR="009544F7">
        <w:t xml:space="preserve"> o </w:t>
      </w:r>
      <w:r w:rsidR="001F3DCC">
        <w:t xml:space="preserve">zlepšení </w:t>
      </w:r>
      <w:r w:rsidR="009544F7">
        <w:t>ve výši</w:t>
      </w:r>
      <w:r w:rsidR="001F3DCC">
        <w:t xml:space="preserve"> 4 %</w:t>
      </w:r>
      <w:r w:rsidR="001F3DCC">
        <w:rPr>
          <w:rStyle w:val="Znakapoznpodarou"/>
        </w:rPr>
        <w:footnoteReference w:id="3"/>
      </w:r>
      <w:r w:rsidR="00467186">
        <w:t xml:space="preserve">, což odpovídá celoevropskému </w:t>
      </w:r>
      <w:r w:rsidR="00F95532">
        <w:t>průměru</w:t>
      </w:r>
      <w:r w:rsidR="00467186">
        <w:t>.</w:t>
      </w:r>
      <w:r w:rsidR="001F3DCC">
        <w:t xml:space="preserve"> </w:t>
      </w:r>
      <w:r w:rsidR="004333CC" w:rsidRPr="0028709E">
        <w:rPr>
          <w:i/>
          <w:iCs/>
        </w:rPr>
        <w:t>„</w:t>
      </w:r>
      <w:r w:rsidR="005A4BE0">
        <w:rPr>
          <w:i/>
          <w:iCs/>
        </w:rPr>
        <w:t>Z</w:t>
      </w:r>
      <w:r w:rsidR="000514A4" w:rsidRPr="0028709E">
        <w:rPr>
          <w:i/>
          <w:iCs/>
        </w:rPr>
        <w:t xml:space="preserve">ákaznické chování se z pohledu frekvence </w:t>
      </w:r>
      <w:r w:rsidR="00CE7F28">
        <w:rPr>
          <w:i/>
          <w:iCs/>
        </w:rPr>
        <w:t xml:space="preserve">návštěvnosti </w:t>
      </w:r>
      <w:r w:rsidR="000514A4" w:rsidRPr="0028709E">
        <w:rPr>
          <w:i/>
          <w:iCs/>
        </w:rPr>
        <w:t xml:space="preserve">výrazně nezměnilo. </w:t>
      </w:r>
      <w:r w:rsidR="004333CC" w:rsidRPr="0028709E">
        <w:rPr>
          <w:i/>
          <w:iCs/>
        </w:rPr>
        <w:t xml:space="preserve">Češi </w:t>
      </w:r>
      <w:r w:rsidR="000514A4" w:rsidRPr="0028709E">
        <w:rPr>
          <w:i/>
          <w:iCs/>
        </w:rPr>
        <w:t xml:space="preserve">i nadále </w:t>
      </w:r>
      <w:r w:rsidR="004333CC" w:rsidRPr="0028709E">
        <w:rPr>
          <w:i/>
          <w:iCs/>
        </w:rPr>
        <w:t xml:space="preserve">nejčastěji vyrážejí do obchodních center kvůli nákupu </w:t>
      </w:r>
      <w:r w:rsidR="000514A4" w:rsidRPr="0028709E">
        <w:rPr>
          <w:i/>
          <w:iCs/>
        </w:rPr>
        <w:t>potravin</w:t>
      </w:r>
      <w:r w:rsidR="004333CC" w:rsidRPr="0028709E">
        <w:rPr>
          <w:i/>
          <w:iCs/>
        </w:rPr>
        <w:t xml:space="preserve">, a to i </w:t>
      </w:r>
      <w:r w:rsidR="00DF4993" w:rsidRPr="0028709E">
        <w:rPr>
          <w:i/>
          <w:iCs/>
        </w:rPr>
        <w:t>několi</w:t>
      </w:r>
      <w:r w:rsidR="004333CC" w:rsidRPr="0028709E">
        <w:rPr>
          <w:i/>
          <w:iCs/>
        </w:rPr>
        <w:t xml:space="preserve">krát týdně. </w:t>
      </w:r>
      <w:r w:rsidR="00CE7F28">
        <w:rPr>
          <w:i/>
          <w:iCs/>
        </w:rPr>
        <w:t>D</w:t>
      </w:r>
      <w:r w:rsidR="00DF4993" w:rsidRPr="0028709E">
        <w:rPr>
          <w:i/>
          <w:iCs/>
        </w:rPr>
        <w:t>alším důvodem je návštěva</w:t>
      </w:r>
      <w:r w:rsidR="00B87570">
        <w:rPr>
          <w:i/>
          <w:iCs/>
        </w:rPr>
        <w:t xml:space="preserve"> rychlého občerstvení,</w:t>
      </w:r>
      <w:r w:rsidR="00DF4993" w:rsidRPr="0028709E">
        <w:rPr>
          <w:i/>
          <w:iCs/>
        </w:rPr>
        <w:t xml:space="preserve"> restaurace či kavárny ve</w:t>
      </w:r>
      <w:r w:rsidR="000514A4" w:rsidRPr="0028709E">
        <w:rPr>
          <w:i/>
          <w:iCs/>
        </w:rPr>
        <w:t xml:space="preserve"> food courtu a</w:t>
      </w:r>
      <w:r w:rsidR="00DF4993" w:rsidRPr="0028709E">
        <w:rPr>
          <w:i/>
          <w:iCs/>
        </w:rPr>
        <w:t>nebo nákup oblečení, obuvi a doplňků</w:t>
      </w:r>
      <w:r w:rsidR="00CE7F28">
        <w:rPr>
          <w:i/>
          <w:iCs/>
        </w:rPr>
        <w:t>,</w:t>
      </w:r>
      <w:r w:rsidR="004333CC" w:rsidRPr="0028709E">
        <w:rPr>
          <w:i/>
          <w:iCs/>
        </w:rPr>
        <w:t>“</w:t>
      </w:r>
      <w:r w:rsidR="004333CC" w:rsidRPr="0028709E">
        <w:t xml:space="preserve"> popisuje </w:t>
      </w:r>
      <w:r w:rsidR="0028709E" w:rsidRPr="00523621">
        <w:rPr>
          <w:b/>
          <w:bCs/>
        </w:rPr>
        <w:t>Aleš Nečas</w:t>
      </w:r>
      <w:r w:rsidR="004333CC" w:rsidRPr="00523621">
        <w:rPr>
          <w:b/>
          <w:bCs/>
        </w:rPr>
        <w:t xml:space="preserve">, </w:t>
      </w:r>
      <w:r w:rsidR="00FC4B94" w:rsidRPr="00523621">
        <w:rPr>
          <w:b/>
          <w:bCs/>
        </w:rPr>
        <w:t xml:space="preserve">vedoucí </w:t>
      </w:r>
      <w:r w:rsidR="00FC4B94" w:rsidRPr="00523621">
        <w:rPr>
          <w:rStyle w:val="Siln"/>
        </w:rPr>
        <w:t xml:space="preserve">oddělení maloobchodních pronájmů </w:t>
      </w:r>
      <w:r w:rsidR="00FC4B94" w:rsidRPr="00523621">
        <w:rPr>
          <w:b/>
          <w:bCs/>
        </w:rPr>
        <w:t>v CBRE</w:t>
      </w:r>
      <w:r w:rsidR="00FC4B94" w:rsidRPr="00523621">
        <w:t>.</w:t>
      </w:r>
    </w:p>
    <w:p w14:paraId="7AE859C6" w14:textId="77777777" w:rsidR="002B3FCF" w:rsidRPr="0028709E" w:rsidRDefault="002B3FCF" w:rsidP="004333CC">
      <w:pPr>
        <w:pStyle w:val="BodyCopy"/>
        <w:jc w:val="both"/>
      </w:pPr>
    </w:p>
    <w:p w14:paraId="5DF26A12" w14:textId="77777777" w:rsidR="00C5140C" w:rsidRPr="009544F7" w:rsidRDefault="00C5140C" w:rsidP="00D6508B">
      <w:pPr>
        <w:pStyle w:val="BodyCopy"/>
        <w:jc w:val="both"/>
        <w:rPr>
          <w:b/>
          <w:bCs/>
        </w:rPr>
      </w:pPr>
      <w:r w:rsidRPr="009544F7">
        <w:rPr>
          <w:b/>
          <w:bCs/>
        </w:rPr>
        <w:t>V</w:t>
      </w:r>
      <w:r w:rsidR="00D6508B" w:rsidRPr="009544F7">
        <w:rPr>
          <w:b/>
          <w:bCs/>
        </w:rPr>
        <w:t xml:space="preserve">ýkonnost nákupních center meziročně vrostla o téměř 5 % </w:t>
      </w:r>
    </w:p>
    <w:p w14:paraId="617F41F7" w14:textId="69905A06" w:rsidR="00D6508B" w:rsidRDefault="00C5140C" w:rsidP="00D6508B">
      <w:pPr>
        <w:pStyle w:val="BodyCopy"/>
        <w:jc w:val="both"/>
      </w:pPr>
      <w:r>
        <w:t>V</w:t>
      </w:r>
      <w:r w:rsidR="00D6508B">
        <w:t xml:space="preserve"> porovnání s rokem 2019 </w:t>
      </w:r>
      <w:r w:rsidR="009544F7">
        <w:t xml:space="preserve">se obraty </w:t>
      </w:r>
      <w:r w:rsidR="00F95532">
        <w:t xml:space="preserve">OC </w:t>
      </w:r>
      <w:r w:rsidR="009544F7">
        <w:t xml:space="preserve">zlepšily </w:t>
      </w:r>
      <w:r w:rsidR="00F95532">
        <w:t>až</w:t>
      </w:r>
      <w:r w:rsidR="00D00DDB">
        <w:t xml:space="preserve"> </w:t>
      </w:r>
      <w:r w:rsidR="00D6508B">
        <w:t>o 16 %</w:t>
      </w:r>
      <w:r w:rsidR="009544F7">
        <w:t>, n</w:t>
      </w:r>
      <w:r w:rsidR="00D6508B">
        <w:t>icméně</w:t>
      </w:r>
      <w:r w:rsidR="009544F7">
        <w:t xml:space="preserve"> </w:t>
      </w:r>
      <w:r w:rsidR="00D6508B">
        <w:t>hlavní podíl na</w:t>
      </w:r>
      <w:r w:rsidR="009544F7">
        <w:t xml:space="preserve"> tom</w:t>
      </w:r>
      <w:r w:rsidR="00F95532">
        <w:t xml:space="preserve"> </w:t>
      </w:r>
      <w:r w:rsidR="00D6508B">
        <w:t xml:space="preserve">měla </w:t>
      </w:r>
      <w:r w:rsidR="004F59B1">
        <w:t>(</w:t>
      </w:r>
      <w:r w:rsidR="00D00DDB">
        <w:t>podobně jako jinde v Evropě</w:t>
      </w:r>
      <w:r w:rsidR="00D00DDB">
        <w:rPr>
          <w:rStyle w:val="Znakapoznpodarou"/>
        </w:rPr>
        <w:footnoteReference w:id="4"/>
      </w:r>
      <w:r w:rsidR="004F59B1">
        <w:t>) již zmiňovaná</w:t>
      </w:r>
      <w:r w:rsidR="00D00DDB">
        <w:t xml:space="preserve"> </w:t>
      </w:r>
      <w:r w:rsidR="00D6508B">
        <w:t xml:space="preserve">inflace. </w:t>
      </w:r>
      <w:r w:rsidR="003364EE" w:rsidRPr="00C06AC3">
        <w:rPr>
          <w:i/>
          <w:iCs/>
        </w:rPr>
        <w:t>„</w:t>
      </w:r>
      <w:r w:rsidR="00D6508B" w:rsidRPr="00C06AC3">
        <w:rPr>
          <w:i/>
          <w:iCs/>
        </w:rPr>
        <w:t>Absolutně výjimečných výkonů dosáhl</w:t>
      </w:r>
      <w:r w:rsidR="00A1075E" w:rsidRPr="00C06AC3">
        <w:rPr>
          <w:i/>
          <w:iCs/>
        </w:rPr>
        <w:t xml:space="preserve"> sektor služeb, </w:t>
      </w:r>
      <w:r w:rsidR="004F59B1">
        <w:rPr>
          <w:i/>
          <w:iCs/>
        </w:rPr>
        <w:t>kter</w:t>
      </w:r>
      <w:r w:rsidR="0023407C">
        <w:rPr>
          <w:i/>
          <w:iCs/>
        </w:rPr>
        <w:t>ý </w:t>
      </w:r>
      <w:r w:rsidR="004F59B1">
        <w:rPr>
          <w:i/>
          <w:iCs/>
        </w:rPr>
        <w:t>si</w:t>
      </w:r>
      <w:r w:rsidR="0023407C">
        <w:rPr>
          <w:i/>
          <w:iCs/>
        </w:rPr>
        <w:t> </w:t>
      </w:r>
      <w:r w:rsidR="004F59B1">
        <w:rPr>
          <w:i/>
          <w:iCs/>
        </w:rPr>
        <w:t xml:space="preserve">meziročně polepšil </w:t>
      </w:r>
      <w:r w:rsidR="00A1075E" w:rsidRPr="00C06AC3">
        <w:rPr>
          <w:i/>
          <w:iCs/>
        </w:rPr>
        <w:t>o 21 %</w:t>
      </w:r>
      <w:r w:rsidR="00FE3AC1">
        <w:rPr>
          <w:i/>
          <w:iCs/>
        </w:rPr>
        <w:t xml:space="preserve"> a v</w:t>
      </w:r>
      <w:r w:rsidR="00A1075E" w:rsidRPr="00C06AC3">
        <w:rPr>
          <w:i/>
          <w:iCs/>
        </w:rPr>
        <w:t xml:space="preserve">e srovnání s rokem </w:t>
      </w:r>
      <w:r w:rsidR="00D6508B" w:rsidRPr="00C06AC3">
        <w:rPr>
          <w:i/>
          <w:iCs/>
        </w:rPr>
        <w:t>2019</w:t>
      </w:r>
      <w:r w:rsidR="00FE3AC1">
        <w:rPr>
          <w:i/>
          <w:iCs/>
        </w:rPr>
        <w:t xml:space="preserve"> o </w:t>
      </w:r>
      <w:r w:rsidR="004F59B1">
        <w:rPr>
          <w:i/>
          <w:iCs/>
        </w:rPr>
        <w:t>neuvěřitelných</w:t>
      </w:r>
      <w:r w:rsidR="00AC4A02">
        <w:rPr>
          <w:i/>
          <w:iCs/>
        </w:rPr>
        <w:t xml:space="preserve"> </w:t>
      </w:r>
      <w:r w:rsidR="00FE3AC1">
        <w:rPr>
          <w:i/>
          <w:iCs/>
        </w:rPr>
        <w:t>68 %</w:t>
      </w:r>
      <w:r w:rsidR="00D6508B" w:rsidRPr="00C06AC3">
        <w:rPr>
          <w:i/>
          <w:iCs/>
        </w:rPr>
        <w:t xml:space="preserve">. </w:t>
      </w:r>
      <w:r w:rsidR="004F59B1">
        <w:rPr>
          <w:i/>
          <w:iCs/>
        </w:rPr>
        <w:t xml:space="preserve">Klíčový </w:t>
      </w:r>
      <w:r w:rsidR="00D6508B" w:rsidRPr="00C06AC3">
        <w:rPr>
          <w:i/>
          <w:iCs/>
        </w:rPr>
        <w:t xml:space="preserve">podíl </w:t>
      </w:r>
      <w:r w:rsidR="00D6508B" w:rsidRPr="00C06AC3">
        <w:rPr>
          <w:i/>
          <w:iCs/>
        </w:rPr>
        <w:lastRenderedPageBreak/>
        <w:t>na</w:t>
      </w:r>
      <w:r w:rsidR="0023407C">
        <w:rPr>
          <w:i/>
          <w:iCs/>
        </w:rPr>
        <w:t> </w:t>
      </w:r>
      <w:r w:rsidR="00D6508B" w:rsidRPr="00C06AC3">
        <w:rPr>
          <w:i/>
          <w:iCs/>
        </w:rPr>
        <w:t xml:space="preserve">tom měly </w:t>
      </w:r>
      <w:r w:rsidR="004F59B1">
        <w:rPr>
          <w:i/>
          <w:iCs/>
        </w:rPr>
        <w:t xml:space="preserve">především </w:t>
      </w:r>
      <w:r w:rsidR="00D6508B" w:rsidRPr="00C06AC3">
        <w:rPr>
          <w:i/>
          <w:iCs/>
        </w:rPr>
        <w:t>cestovní agentury</w:t>
      </w:r>
      <w:r w:rsidR="00F911D8">
        <w:rPr>
          <w:i/>
          <w:iCs/>
        </w:rPr>
        <w:t xml:space="preserve">, </w:t>
      </w:r>
      <w:r w:rsidR="00D6508B" w:rsidRPr="00C06AC3">
        <w:rPr>
          <w:i/>
          <w:iCs/>
        </w:rPr>
        <w:t>nehtová studia a barber</w:t>
      </w:r>
      <w:r w:rsidR="00A1075E" w:rsidRPr="00C06AC3">
        <w:rPr>
          <w:i/>
          <w:iCs/>
        </w:rPr>
        <w:t>shopy</w:t>
      </w:r>
      <w:r w:rsidR="00D6508B" w:rsidRPr="00C06AC3">
        <w:rPr>
          <w:i/>
          <w:iCs/>
        </w:rPr>
        <w:t xml:space="preserve">. </w:t>
      </w:r>
      <w:r w:rsidR="00F911D8">
        <w:rPr>
          <w:i/>
          <w:iCs/>
        </w:rPr>
        <w:t>D</w:t>
      </w:r>
      <w:r w:rsidR="00A1075E" w:rsidRPr="00C06AC3">
        <w:rPr>
          <w:i/>
          <w:iCs/>
        </w:rPr>
        <w:t>alším rokem</w:t>
      </w:r>
      <w:r w:rsidR="00D6508B" w:rsidRPr="00C06AC3">
        <w:rPr>
          <w:i/>
          <w:iCs/>
        </w:rPr>
        <w:t xml:space="preserve"> </w:t>
      </w:r>
      <w:r w:rsidR="004F59B1">
        <w:rPr>
          <w:i/>
          <w:iCs/>
        </w:rPr>
        <w:t>také</w:t>
      </w:r>
      <w:r w:rsidR="004F59B1" w:rsidRPr="00C06AC3">
        <w:rPr>
          <w:i/>
          <w:iCs/>
        </w:rPr>
        <w:t xml:space="preserve"> </w:t>
      </w:r>
      <w:r w:rsidR="00A1075E" w:rsidRPr="00C06AC3">
        <w:rPr>
          <w:i/>
          <w:iCs/>
        </w:rPr>
        <w:t xml:space="preserve">pokračoval </w:t>
      </w:r>
      <w:r w:rsidR="00D6508B" w:rsidRPr="00C06AC3">
        <w:rPr>
          <w:i/>
          <w:iCs/>
        </w:rPr>
        <w:t xml:space="preserve">růst </w:t>
      </w:r>
      <w:r w:rsidR="00F95532">
        <w:rPr>
          <w:i/>
          <w:iCs/>
        </w:rPr>
        <w:t>sektoru</w:t>
      </w:r>
      <w:r w:rsidR="00D6508B" w:rsidRPr="00C06AC3">
        <w:rPr>
          <w:i/>
          <w:iCs/>
        </w:rPr>
        <w:t xml:space="preserve"> </w:t>
      </w:r>
      <w:r w:rsidR="00A1075E" w:rsidRPr="00C06AC3">
        <w:rPr>
          <w:i/>
          <w:iCs/>
        </w:rPr>
        <w:t>g</w:t>
      </w:r>
      <w:r w:rsidR="00D6508B" w:rsidRPr="00C06AC3">
        <w:rPr>
          <w:i/>
          <w:iCs/>
        </w:rPr>
        <w:t>astronomie</w:t>
      </w:r>
      <w:r w:rsidR="00F95532">
        <w:rPr>
          <w:i/>
          <w:iCs/>
        </w:rPr>
        <w:t>.</w:t>
      </w:r>
      <w:r w:rsidR="004F59B1">
        <w:rPr>
          <w:i/>
          <w:iCs/>
        </w:rPr>
        <w:t xml:space="preserve"> </w:t>
      </w:r>
      <w:r w:rsidR="00F95532">
        <w:rPr>
          <w:i/>
          <w:iCs/>
        </w:rPr>
        <w:t xml:space="preserve">Obraty se </w:t>
      </w:r>
      <w:r w:rsidR="00FE3AC1">
        <w:rPr>
          <w:i/>
          <w:iCs/>
        </w:rPr>
        <w:t xml:space="preserve">v něm </w:t>
      </w:r>
      <w:r w:rsidR="00EC3D6F" w:rsidRPr="00C06AC3">
        <w:rPr>
          <w:i/>
          <w:iCs/>
        </w:rPr>
        <w:t xml:space="preserve">meziročně </w:t>
      </w:r>
      <w:r w:rsidR="00F95532">
        <w:rPr>
          <w:i/>
          <w:iCs/>
        </w:rPr>
        <w:t xml:space="preserve">zvýšily </w:t>
      </w:r>
      <w:r w:rsidR="00A1075E" w:rsidRPr="00C06AC3">
        <w:rPr>
          <w:i/>
          <w:iCs/>
        </w:rPr>
        <w:t xml:space="preserve">o </w:t>
      </w:r>
      <w:r w:rsidR="00D6508B" w:rsidRPr="00C06AC3">
        <w:rPr>
          <w:i/>
          <w:iCs/>
        </w:rPr>
        <w:t xml:space="preserve">12 % </w:t>
      </w:r>
      <w:r w:rsidR="00A1075E" w:rsidRPr="00C06AC3">
        <w:rPr>
          <w:i/>
          <w:iCs/>
        </w:rPr>
        <w:t xml:space="preserve">a </w:t>
      </w:r>
      <w:r w:rsidR="004F59B1">
        <w:rPr>
          <w:i/>
          <w:iCs/>
        </w:rPr>
        <w:t>při</w:t>
      </w:r>
      <w:r w:rsidR="00EC3D6F" w:rsidRPr="00C06AC3">
        <w:rPr>
          <w:i/>
          <w:iCs/>
        </w:rPr>
        <w:t xml:space="preserve"> srovnání s rokem 2019</w:t>
      </w:r>
      <w:r w:rsidR="00EC3D6F">
        <w:rPr>
          <w:i/>
          <w:iCs/>
        </w:rPr>
        <w:t xml:space="preserve"> </w:t>
      </w:r>
      <w:r w:rsidR="004F59B1">
        <w:rPr>
          <w:i/>
          <w:iCs/>
        </w:rPr>
        <w:t>až</w:t>
      </w:r>
      <w:r w:rsidR="0023407C">
        <w:rPr>
          <w:i/>
          <w:iCs/>
        </w:rPr>
        <w:t> </w:t>
      </w:r>
      <w:r w:rsidR="00EC3D6F">
        <w:rPr>
          <w:i/>
          <w:iCs/>
        </w:rPr>
        <w:t>o</w:t>
      </w:r>
      <w:r w:rsidR="0023407C">
        <w:rPr>
          <w:i/>
          <w:iCs/>
        </w:rPr>
        <w:t> </w:t>
      </w:r>
      <w:r w:rsidR="00D6508B" w:rsidRPr="00C06AC3">
        <w:rPr>
          <w:i/>
          <w:iCs/>
        </w:rPr>
        <w:t>28</w:t>
      </w:r>
      <w:r w:rsidR="0023407C">
        <w:rPr>
          <w:i/>
          <w:iCs/>
        </w:rPr>
        <w:t> </w:t>
      </w:r>
      <w:r w:rsidR="00D6508B" w:rsidRPr="00C06AC3">
        <w:rPr>
          <w:i/>
          <w:iCs/>
        </w:rPr>
        <w:t>%. Zájem zákazníků byl především o osvěžující nápoje,</w:t>
      </w:r>
      <w:r w:rsidR="004F59B1">
        <w:rPr>
          <w:i/>
          <w:iCs/>
        </w:rPr>
        <w:t xml:space="preserve"> </w:t>
      </w:r>
      <w:r w:rsidR="00D6508B" w:rsidRPr="00C06AC3">
        <w:rPr>
          <w:i/>
          <w:iCs/>
        </w:rPr>
        <w:t>asijskou kuchyni</w:t>
      </w:r>
      <w:r w:rsidR="00FE3AC1">
        <w:rPr>
          <w:i/>
          <w:iCs/>
        </w:rPr>
        <w:t xml:space="preserve"> a </w:t>
      </w:r>
      <w:r w:rsidR="00D6508B" w:rsidRPr="00C06AC3">
        <w:rPr>
          <w:i/>
          <w:iCs/>
        </w:rPr>
        <w:t xml:space="preserve">také mezinárodní </w:t>
      </w:r>
      <w:r w:rsidR="00C06AC3" w:rsidRPr="00C06AC3">
        <w:rPr>
          <w:i/>
          <w:iCs/>
        </w:rPr>
        <w:t xml:space="preserve">fastfoodové </w:t>
      </w:r>
      <w:r w:rsidR="00D6508B" w:rsidRPr="00C06AC3">
        <w:rPr>
          <w:i/>
          <w:iCs/>
        </w:rPr>
        <w:t>řetězce.</w:t>
      </w:r>
      <w:r w:rsidR="00C06AC3" w:rsidRPr="00C06AC3">
        <w:rPr>
          <w:i/>
          <w:iCs/>
        </w:rPr>
        <w:t xml:space="preserve"> </w:t>
      </w:r>
      <w:r w:rsidR="00D6508B" w:rsidRPr="00C06AC3">
        <w:rPr>
          <w:i/>
          <w:iCs/>
        </w:rPr>
        <w:t>Třetí</w:t>
      </w:r>
      <w:r w:rsidR="004F59B1">
        <w:rPr>
          <w:i/>
          <w:iCs/>
        </w:rPr>
        <w:t>m</w:t>
      </w:r>
      <w:r w:rsidR="00D6508B" w:rsidRPr="00C06AC3">
        <w:rPr>
          <w:i/>
          <w:iCs/>
        </w:rPr>
        <w:t xml:space="preserve"> </w:t>
      </w:r>
      <w:r w:rsidR="00B2355E">
        <w:rPr>
          <w:i/>
          <w:iCs/>
        </w:rPr>
        <w:t>nejúspěšnější</w:t>
      </w:r>
      <w:r w:rsidR="004F59B1">
        <w:rPr>
          <w:i/>
          <w:iCs/>
        </w:rPr>
        <w:t>m se</w:t>
      </w:r>
      <w:r w:rsidR="0023407C">
        <w:rPr>
          <w:i/>
          <w:iCs/>
        </w:rPr>
        <w:t>ktorem</w:t>
      </w:r>
      <w:r w:rsidR="00B2355E">
        <w:rPr>
          <w:i/>
          <w:iCs/>
        </w:rPr>
        <w:t xml:space="preserve"> byl</w:t>
      </w:r>
      <w:r w:rsidR="00D6508B" w:rsidRPr="00C06AC3">
        <w:rPr>
          <w:i/>
          <w:iCs/>
        </w:rPr>
        <w:t xml:space="preserve"> </w:t>
      </w:r>
      <w:r w:rsidR="00C06AC3" w:rsidRPr="00C06AC3">
        <w:rPr>
          <w:i/>
          <w:iCs/>
        </w:rPr>
        <w:t>s</w:t>
      </w:r>
      <w:r w:rsidR="00D6508B" w:rsidRPr="00C06AC3">
        <w:rPr>
          <w:i/>
          <w:iCs/>
        </w:rPr>
        <w:t>pecializovan</w:t>
      </w:r>
      <w:r w:rsidR="00C06AC3" w:rsidRPr="00C06AC3">
        <w:rPr>
          <w:i/>
          <w:iCs/>
        </w:rPr>
        <w:t>ý</w:t>
      </w:r>
      <w:r w:rsidR="00D6508B" w:rsidRPr="00C06AC3">
        <w:rPr>
          <w:i/>
          <w:iCs/>
        </w:rPr>
        <w:t xml:space="preserve"> maloobchod</w:t>
      </w:r>
      <w:r w:rsidR="0023407C">
        <w:rPr>
          <w:rStyle w:val="Znakapoznpodarou"/>
          <w:i/>
          <w:iCs/>
        </w:rPr>
        <w:footnoteReference w:id="5"/>
      </w:r>
      <w:r w:rsidR="0023407C">
        <w:rPr>
          <w:i/>
          <w:iCs/>
        </w:rPr>
        <w:t xml:space="preserve">, u </w:t>
      </w:r>
      <w:r w:rsidR="00B2355E">
        <w:rPr>
          <w:i/>
          <w:iCs/>
        </w:rPr>
        <w:t>kterého</w:t>
      </w:r>
      <w:r w:rsidR="0023407C">
        <w:rPr>
          <w:i/>
          <w:iCs/>
        </w:rPr>
        <w:t> </w:t>
      </w:r>
      <w:r w:rsidR="00CE08E0">
        <w:rPr>
          <w:i/>
          <w:iCs/>
        </w:rPr>
        <w:t>se</w:t>
      </w:r>
      <w:r w:rsidR="0023407C">
        <w:rPr>
          <w:i/>
          <w:iCs/>
        </w:rPr>
        <w:t> </w:t>
      </w:r>
      <w:r w:rsidR="00B2355E">
        <w:rPr>
          <w:i/>
          <w:iCs/>
        </w:rPr>
        <w:t>obraty</w:t>
      </w:r>
      <w:r w:rsidR="00CE08E0">
        <w:rPr>
          <w:i/>
          <w:iCs/>
        </w:rPr>
        <w:t xml:space="preserve"> meziročně zvýšily o </w:t>
      </w:r>
      <w:r w:rsidR="00D6508B" w:rsidRPr="00C06AC3">
        <w:rPr>
          <w:i/>
          <w:iCs/>
        </w:rPr>
        <w:t>8 %</w:t>
      </w:r>
      <w:r w:rsidR="00C71343">
        <w:rPr>
          <w:i/>
          <w:iCs/>
        </w:rPr>
        <w:t xml:space="preserve">, respektive </w:t>
      </w:r>
      <w:r w:rsidR="00D6508B" w:rsidRPr="00C06AC3">
        <w:rPr>
          <w:i/>
          <w:iCs/>
        </w:rPr>
        <w:t>28 %</w:t>
      </w:r>
      <w:r w:rsidR="00C71343">
        <w:rPr>
          <w:i/>
          <w:iCs/>
        </w:rPr>
        <w:t xml:space="preserve"> </w:t>
      </w:r>
      <w:r w:rsidR="00AC4A02">
        <w:rPr>
          <w:i/>
          <w:iCs/>
        </w:rPr>
        <w:t xml:space="preserve">oproti roku </w:t>
      </w:r>
      <w:r w:rsidR="00D6508B" w:rsidRPr="00C06AC3">
        <w:rPr>
          <w:i/>
          <w:iCs/>
        </w:rPr>
        <w:t xml:space="preserve">2019. Hlavními tahouny byly drogerie, </w:t>
      </w:r>
      <w:r w:rsidR="00C06AC3" w:rsidRPr="00C06AC3">
        <w:rPr>
          <w:i/>
          <w:iCs/>
        </w:rPr>
        <w:t>optik</w:t>
      </w:r>
      <w:r w:rsidR="00AC4A02">
        <w:rPr>
          <w:i/>
          <w:iCs/>
        </w:rPr>
        <w:t xml:space="preserve">y </w:t>
      </w:r>
      <w:r w:rsidR="00C06AC3" w:rsidRPr="00C06AC3">
        <w:rPr>
          <w:i/>
          <w:iCs/>
        </w:rPr>
        <w:t>a</w:t>
      </w:r>
      <w:r w:rsidR="0023407C">
        <w:rPr>
          <w:i/>
          <w:iCs/>
        </w:rPr>
        <w:t> </w:t>
      </w:r>
      <w:r w:rsidR="00C06AC3" w:rsidRPr="00C06AC3">
        <w:rPr>
          <w:i/>
          <w:iCs/>
        </w:rPr>
        <w:t>lékárn</w:t>
      </w:r>
      <w:r w:rsidR="00AC4A02">
        <w:rPr>
          <w:i/>
          <w:iCs/>
        </w:rPr>
        <w:t>y</w:t>
      </w:r>
      <w:r w:rsidR="00C06AC3" w:rsidRPr="00C06AC3">
        <w:rPr>
          <w:i/>
          <w:iCs/>
        </w:rPr>
        <w:t>,“</w:t>
      </w:r>
      <w:r w:rsidR="00C06AC3">
        <w:t xml:space="preserve"> </w:t>
      </w:r>
      <w:r w:rsidR="006007D8">
        <w:t>říká</w:t>
      </w:r>
      <w:r w:rsidR="00C06AC3">
        <w:t xml:space="preserve"> </w:t>
      </w:r>
      <w:r w:rsidR="00C06AC3" w:rsidRPr="00C06AC3">
        <w:rPr>
          <w:b/>
          <w:bCs/>
        </w:rPr>
        <w:t>Klára Bejblová</w:t>
      </w:r>
      <w:r w:rsidR="00C06AC3">
        <w:t>.</w:t>
      </w:r>
    </w:p>
    <w:p w14:paraId="3A624790" w14:textId="77777777" w:rsidR="003364EE" w:rsidRDefault="003364EE" w:rsidP="00D6508B">
      <w:pPr>
        <w:pStyle w:val="BodyCopy"/>
        <w:jc w:val="both"/>
      </w:pPr>
    </w:p>
    <w:p w14:paraId="684420D6" w14:textId="5E0BFA5E" w:rsidR="00AC6306" w:rsidRDefault="00F911D8" w:rsidP="00D6508B">
      <w:pPr>
        <w:pStyle w:val="BodyCopy"/>
        <w:jc w:val="both"/>
      </w:pPr>
      <w:r>
        <w:t>Naopak t</w:t>
      </w:r>
      <w:r w:rsidR="00D6508B">
        <w:t xml:space="preserve">ři z devíti sektorů zaznamenaly meziroční pokles obratů. U módy </w:t>
      </w:r>
      <w:r w:rsidR="007019A4">
        <w:t>(</w:t>
      </w:r>
      <w:r>
        <w:t xml:space="preserve">celkově </w:t>
      </w:r>
      <w:r w:rsidR="00D6508B">
        <w:t xml:space="preserve">-3 %) se </w:t>
      </w:r>
      <w:r>
        <w:t xml:space="preserve">sice </w:t>
      </w:r>
      <w:r w:rsidR="00D6508B">
        <w:t xml:space="preserve">dařilo </w:t>
      </w:r>
      <w:r w:rsidR="00C06AC3">
        <w:t>podkategorii s </w:t>
      </w:r>
      <w:r w:rsidR="004F59B1">
        <w:t>pánskou</w:t>
      </w:r>
      <w:r w:rsidR="00C06AC3">
        <w:t xml:space="preserve"> módou, ale naopak d</w:t>
      </w:r>
      <w:r w:rsidR="00D6508B">
        <w:t xml:space="preserve">ámská móda se </w:t>
      </w:r>
      <w:r>
        <w:t>dlouhodobě potýká</w:t>
      </w:r>
      <w:r w:rsidR="00D6508B">
        <w:t xml:space="preserve"> s problémy a po dalším meziročním poklesu (-4 %) zaostáv</w:t>
      </w:r>
      <w:r w:rsidR="007019A4">
        <w:t>ala</w:t>
      </w:r>
      <w:r w:rsidR="00D6508B">
        <w:t xml:space="preserve"> za </w:t>
      </w:r>
      <w:r w:rsidR="00C06AC3">
        <w:t xml:space="preserve">rokem </w:t>
      </w:r>
      <w:r w:rsidR="00D6508B">
        <w:t>2019 o 25 %.</w:t>
      </w:r>
      <w:r w:rsidR="00AC6306">
        <w:t xml:space="preserve"> Pohoršili si také </w:t>
      </w:r>
      <w:r w:rsidR="00F566D5">
        <w:t xml:space="preserve">prodejci </w:t>
      </w:r>
      <w:r w:rsidR="00523621">
        <w:t xml:space="preserve">sportovního </w:t>
      </w:r>
      <w:r w:rsidR="008F4AB8">
        <w:t xml:space="preserve">zboží, především sportovní módy, </w:t>
      </w:r>
      <w:r w:rsidR="006C1F10">
        <w:t xml:space="preserve">a </w:t>
      </w:r>
      <w:r w:rsidR="00523621">
        <w:t xml:space="preserve">dále </w:t>
      </w:r>
      <w:r w:rsidR="00F566D5">
        <w:t>v</w:t>
      </w:r>
      <w:r w:rsidR="00F566D5" w:rsidRPr="00AC6306">
        <w:t xml:space="preserve">ybavení </w:t>
      </w:r>
      <w:r w:rsidR="006C1F10">
        <w:t xml:space="preserve">pro </w:t>
      </w:r>
      <w:r w:rsidR="00F566D5" w:rsidRPr="00AC6306">
        <w:t>domácnosti</w:t>
      </w:r>
      <w:r w:rsidR="00F566D5">
        <w:t xml:space="preserve"> a </w:t>
      </w:r>
      <w:r w:rsidR="00AC6306">
        <w:t>nábytku</w:t>
      </w:r>
      <w:r w:rsidR="00F566D5">
        <w:t>.</w:t>
      </w:r>
    </w:p>
    <w:p w14:paraId="2F599A75" w14:textId="77777777" w:rsidR="00AC6306" w:rsidRDefault="00AC6306" w:rsidP="00D6508B">
      <w:pPr>
        <w:pStyle w:val="BodyCopy"/>
        <w:jc w:val="both"/>
      </w:pPr>
    </w:p>
    <w:p w14:paraId="5538C29A" w14:textId="28EF1652" w:rsidR="00FD089B" w:rsidRPr="00FD089B" w:rsidRDefault="00DA2BAC" w:rsidP="00DA2BAC">
      <w:pPr>
        <w:pStyle w:val="BodyCopy"/>
        <w:jc w:val="both"/>
        <w:rPr>
          <w:b/>
          <w:bCs/>
        </w:rPr>
      </w:pPr>
      <w:r w:rsidRPr="00FD089B">
        <w:rPr>
          <w:b/>
          <w:bCs/>
        </w:rPr>
        <w:t xml:space="preserve">Míra neobsazenosti </w:t>
      </w:r>
      <w:r w:rsidR="00FD089B">
        <w:rPr>
          <w:b/>
          <w:bCs/>
        </w:rPr>
        <w:t>vloni</w:t>
      </w:r>
      <w:r w:rsidRPr="00FD089B">
        <w:rPr>
          <w:b/>
          <w:bCs/>
        </w:rPr>
        <w:t xml:space="preserve"> nepatrně poklesla na 3,9 %</w:t>
      </w:r>
    </w:p>
    <w:p w14:paraId="709F9714" w14:textId="3C372EF1" w:rsidR="00DA2BAC" w:rsidRDefault="00E84D7D" w:rsidP="00DA2BAC">
      <w:pPr>
        <w:pStyle w:val="BodyCopy"/>
        <w:jc w:val="both"/>
      </w:pPr>
      <w:r>
        <w:t>N</w:t>
      </w:r>
      <w:r w:rsidR="00DA2BAC">
        <w:t xml:space="preserve">eobsazenost </w:t>
      </w:r>
      <w:r w:rsidR="006C1F10">
        <w:t xml:space="preserve">regionálních obchodních center </w:t>
      </w:r>
      <w:r>
        <w:t xml:space="preserve">se </w:t>
      </w:r>
      <w:r w:rsidR="00DA2BAC">
        <w:t xml:space="preserve">stále ještě nevrátila na úroveň </w:t>
      </w:r>
      <w:r w:rsidR="00FD089B">
        <w:t xml:space="preserve">z </w:t>
      </w:r>
      <w:r w:rsidR="00DA2BAC">
        <w:t xml:space="preserve">roku 2019, </w:t>
      </w:r>
      <w:r>
        <w:t>nicméně</w:t>
      </w:r>
      <w:r w:rsidR="0023407C">
        <w:t> </w:t>
      </w:r>
      <w:r>
        <w:t>i</w:t>
      </w:r>
      <w:r w:rsidR="0023407C">
        <w:t> </w:t>
      </w:r>
      <w:r>
        <w:t xml:space="preserve">přesto se </w:t>
      </w:r>
      <w:r w:rsidR="00FD089B">
        <w:t xml:space="preserve">jedná </w:t>
      </w:r>
      <w:r>
        <w:t>o</w:t>
      </w:r>
      <w:r w:rsidR="00FD089B">
        <w:t xml:space="preserve"> </w:t>
      </w:r>
      <w:r w:rsidR="00DA2BAC">
        <w:t>velmi zdrav</w:t>
      </w:r>
      <w:r w:rsidR="00FD089B">
        <w:t xml:space="preserve">ou </w:t>
      </w:r>
      <w:r w:rsidR="00DA2BAC">
        <w:t>hodnot</w:t>
      </w:r>
      <w:r w:rsidR="00FD089B">
        <w:t>u</w:t>
      </w:r>
      <w:r w:rsidR="00DA2BAC">
        <w:t>, která zákazníkům nabízí širokou nabídku obchodů a</w:t>
      </w:r>
      <w:r w:rsidR="0023407C">
        <w:t> </w:t>
      </w:r>
      <w:r w:rsidR="00DA2BAC">
        <w:t xml:space="preserve">služeb a zároveň udržuje silnou konkurenci mezi nájemci. Stejně jako ve zbytku Evropy </w:t>
      </w:r>
      <w:r w:rsidR="006C1F10">
        <w:t xml:space="preserve">přitom </w:t>
      </w:r>
      <w:r w:rsidR="00DA2BAC">
        <w:t>dosahují nejvyšší neobsazenosti</w:t>
      </w:r>
      <w:r w:rsidR="00FD089B">
        <w:t xml:space="preserve"> (kolem 5,2 %) </w:t>
      </w:r>
      <w:r w:rsidR="008F4AB8">
        <w:t xml:space="preserve">regionální </w:t>
      </w:r>
      <w:r w:rsidR="00DA2BAC">
        <w:t>centra</w:t>
      </w:r>
      <w:r w:rsidR="00FD089B">
        <w:t xml:space="preserve"> </w:t>
      </w:r>
      <w:r w:rsidR="00DA2BAC">
        <w:t>s</w:t>
      </w:r>
      <w:r w:rsidR="00FD089B">
        <w:t xml:space="preserve"> vysokým</w:t>
      </w:r>
      <w:r w:rsidR="00DA2BAC">
        <w:t xml:space="preserve"> podílem volnočasových aktivit.</w:t>
      </w:r>
    </w:p>
    <w:p w14:paraId="009DFEDB" w14:textId="77777777" w:rsidR="00DA2BAC" w:rsidRDefault="00DA2BAC" w:rsidP="00DA2BAC">
      <w:pPr>
        <w:pStyle w:val="BodyCopy"/>
        <w:jc w:val="both"/>
      </w:pPr>
    </w:p>
    <w:p w14:paraId="757DFCDC" w14:textId="2CA2CE40" w:rsidR="00F16A9C" w:rsidRDefault="00DA2BAC" w:rsidP="00F16A9C">
      <w:pPr>
        <w:pStyle w:val="BodyCopy"/>
        <w:jc w:val="both"/>
      </w:pPr>
      <w:r w:rsidRPr="00F16A9C">
        <w:t xml:space="preserve">Z hlediska </w:t>
      </w:r>
      <w:r w:rsidR="00C63891" w:rsidRPr="00F16A9C">
        <w:t>rozložení jednotlivých sektorů</w:t>
      </w:r>
      <w:r w:rsidR="00E84D7D" w:rsidRPr="00E84D7D">
        <w:t xml:space="preserve"> </w:t>
      </w:r>
      <w:r w:rsidR="00C65F74">
        <w:t>na</w:t>
      </w:r>
      <w:r w:rsidR="00E84D7D" w:rsidRPr="00F16A9C">
        <w:t> nákupních galeriích</w:t>
      </w:r>
      <w:r w:rsidR="00AA7400" w:rsidRPr="00F16A9C">
        <w:t xml:space="preserve">, nedošlo za posledních pět let </w:t>
      </w:r>
      <w:r w:rsidRPr="00F16A9C">
        <w:t>k</w:t>
      </w:r>
      <w:r w:rsidR="0023407C">
        <w:t> </w:t>
      </w:r>
      <w:r w:rsidRPr="00F16A9C">
        <w:t>výraznějším změnám.</w:t>
      </w:r>
      <w:r w:rsidR="00E84D7D">
        <w:t xml:space="preserve"> </w:t>
      </w:r>
      <w:r w:rsidR="006C1F10">
        <w:t>Celkové p</w:t>
      </w:r>
      <w:r w:rsidR="00AA7400" w:rsidRPr="00F16A9C">
        <w:t xml:space="preserve">loše i nadále dominuje s 36 % móda, následovaná se 14 % specializovaným maloobchodem a s 12 % kategorií sportu. Z hlediska dynamiky vývoje došlo </w:t>
      </w:r>
      <w:r w:rsidR="006C1F10" w:rsidRPr="00F16A9C">
        <w:t xml:space="preserve">vloni </w:t>
      </w:r>
      <w:r w:rsidR="00AA7400" w:rsidRPr="00F16A9C">
        <w:t xml:space="preserve">k největšímu meziročnímu nárůstu nájemní plochy v sektoru gastronomie (+6 %), a to především díky expanzi fastfoodových </w:t>
      </w:r>
      <w:r w:rsidR="00F16A9C" w:rsidRPr="00F16A9C">
        <w:t>řetězců</w:t>
      </w:r>
      <w:r w:rsidR="00AA7400" w:rsidRPr="00F16A9C">
        <w:t>. Druhý nejvyšší růst (+3 %)</w:t>
      </w:r>
      <w:r w:rsidR="00F16A9C" w:rsidRPr="00F16A9C">
        <w:t xml:space="preserve"> zaznamenala kategorie s</w:t>
      </w:r>
      <w:r w:rsidR="00AA7400" w:rsidRPr="00F16A9C">
        <w:t>lužeb, kde</w:t>
      </w:r>
      <w:r w:rsidR="0023407C">
        <w:t> </w:t>
      </w:r>
      <w:r w:rsidR="00AA7400" w:rsidRPr="00F16A9C">
        <w:t xml:space="preserve">expandovaly </w:t>
      </w:r>
      <w:r w:rsidR="00F16A9C" w:rsidRPr="00F16A9C">
        <w:t xml:space="preserve">jak barbershopy, tak </w:t>
      </w:r>
      <w:r w:rsidR="00AA7400" w:rsidRPr="00F16A9C">
        <w:t xml:space="preserve">cestovní agentury, a </w:t>
      </w:r>
      <w:r w:rsidR="00F16A9C" w:rsidRPr="00F16A9C">
        <w:t xml:space="preserve">dále prodejci </w:t>
      </w:r>
      <w:r w:rsidR="00E84D7D" w:rsidRPr="00F16A9C">
        <w:t xml:space="preserve">vybavení </w:t>
      </w:r>
      <w:r w:rsidR="00C65F74">
        <w:t xml:space="preserve">pro </w:t>
      </w:r>
      <w:r w:rsidR="00E84D7D" w:rsidRPr="00F16A9C">
        <w:t xml:space="preserve">domácnosti </w:t>
      </w:r>
      <w:r w:rsidR="00E84D7D">
        <w:t>a</w:t>
      </w:r>
      <w:r w:rsidR="0023407C">
        <w:t> </w:t>
      </w:r>
      <w:r w:rsidR="00F16A9C" w:rsidRPr="00F16A9C">
        <w:t>nábytku</w:t>
      </w:r>
      <w:r w:rsidR="00AA7400" w:rsidRPr="00F16A9C">
        <w:t xml:space="preserve">. </w:t>
      </w:r>
      <w:r w:rsidR="00F16A9C" w:rsidRPr="00F16A9C">
        <w:t>Nicméně z</w:t>
      </w:r>
      <w:r w:rsidR="00AA7400" w:rsidRPr="00F16A9C">
        <w:t xml:space="preserve">atímco </w:t>
      </w:r>
      <w:r w:rsidR="00F16A9C" w:rsidRPr="00F16A9C">
        <w:t>s</w:t>
      </w:r>
      <w:r w:rsidR="00AA7400" w:rsidRPr="00F16A9C">
        <w:t>lužby rostly jak plochou, tak počtem</w:t>
      </w:r>
      <w:r w:rsidR="00F16A9C" w:rsidRPr="00F16A9C">
        <w:t xml:space="preserve"> pronajímaných jednotek</w:t>
      </w:r>
      <w:r w:rsidR="00AA7400" w:rsidRPr="00F16A9C">
        <w:t xml:space="preserve">, u </w:t>
      </w:r>
      <w:r w:rsidR="00F16A9C" w:rsidRPr="00F16A9C">
        <w:t>druhé kategorie</w:t>
      </w:r>
      <w:r w:rsidR="00AA7400" w:rsidRPr="00F16A9C">
        <w:t xml:space="preserve"> do</w:t>
      </w:r>
      <w:r w:rsidR="00F16A9C" w:rsidRPr="00F16A9C">
        <w:t>cházelo současně k</w:t>
      </w:r>
      <w:r w:rsidR="008F4AB8">
        <w:t xml:space="preserve"> vyššímu uzavíraní poboček a</w:t>
      </w:r>
      <w:r w:rsidR="00AA7400" w:rsidRPr="00F16A9C">
        <w:t xml:space="preserve"> </w:t>
      </w:r>
      <w:r w:rsidR="00F16A9C" w:rsidRPr="00F16A9C">
        <w:t>otevíraní</w:t>
      </w:r>
      <w:r w:rsidR="008F4AB8">
        <w:t xml:space="preserve"> nových na</w:t>
      </w:r>
      <w:r w:rsidR="00F16A9C" w:rsidRPr="00F16A9C">
        <w:t xml:space="preserve"> větších ploch</w:t>
      </w:r>
      <w:r w:rsidR="008F4AB8">
        <w:t>ách</w:t>
      </w:r>
      <w:r w:rsidR="00F16A9C" w:rsidRPr="00F16A9C">
        <w:t>, což</w:t>
      </w:r>
      <w:r w:rsidR="00D96DE6">
        <w:t> </w:t>
      </w:r>
      <w:r w:rsidR="00F16A9C" w:rsidRPr="00F16A9C">
        <w:t xml:space="preserve">vedlo </w:t>
      </w:r>
      <w:r w:rsidR="00AA7400" w:rsidRPr="00F16A9C">
        <w:t>k</w:t>
      </w:r>
      <w:r w:rsidR="00F16A9C" w:rsidRPr="00F16A9C">
        <w:t xml:space="preserve"> celkovému</w:t>
      </w:r>
      <w:r w:rsidR="00AA7400" w:rsidRPr="00F16A9C">
        <w:t xml:space="preserve"> poklesu počtu jednotek o 5 % </w:t>
      </w:r>
      <w:r w:rsidR="00F16A9C" w:rsidRPr="00F16A9C">
        <w:t xml:space="preserve">a </w:t>
      </w:r>
      <w:r w:rsidR="00AA7400" w:rsidRPr="00F16A9C">
        <w:t>redukci průměrné velikosti sektoru</w:t>
      </w:r>
      <w:r w:rsidR="00F16A9C" w:rsidRPr="00F16A9C">
        <w:t xml:space="preserve">. </w:t>
      </w:r>
      <w:r w:rsidR="00C65F74">
        <w:t>N</w:t>
      </w:r>
      <w:r w:rsidR="00F16A9C">
        <w:t xml:space="preserve">aopak tomu bylo u </w:t>
      </w:r>
      <w:r w:rsidR="00E84D7D">
        <w:t xml:space="preserve">sektoru </w:t>
      </w:r>
      <w:r w:rsidR="00F16A9C">
        <w:t>elektroniky</w:t>
      </w:r>
      <w:r w:rsidR="00C65F74">
        <w:t xml:space="preserve">, u které </w:t>
      </w:r>
      <w:r w:rsidR="00E84D7D">
        <w:t xml:space="preserve">sice </w:t>
      </w:r>
      <w:r w:rsidR="00F16A9C">
        <w:t>došlo k</w:t>
      </w:r>
      <w:r w:rsidR="00E84D7D">
        <w:t xml:space="preserve"> celkovému </w:t>
      </w:r>
      <w:r w:rsidR="00F16A9C">
        <w:t>poklesu plochy o 2 %, ale počet jednotek vzrostl</w:t>
      </w:r>
      <w:r w:rsidR="00E84D7D">
        <w:t xml:space="preserve"> díky expanzi specializovaných obchodů</w:t>
      </w:r>
      <w:r w:rsidR="00F16A9C">
        <w:t xml:space="preserve"> o 7 %.</w:t>
      </w:r>
    </w:p>
    <w:p w14:paraId="79A0F9A6" w14:textId="7D5A7895" w:rsidR="00AA7400" w:rsidRPr="00F16A9C" w:rsidRDefault="00AA7400" w:rsidP="00AA7400">
      <w:pPr>
        <w:pStyle w:val="BodyCopy"/>
        <w:jc w:val="both"/>
      </w:pPr>
    </w:p>
    <w:p w14:paraId="186E1930" w14:textId="240EF073" w:rsidR="000C15A9" w:rsidRPr="000C15A9" w:rsidRDefault="00DA2BAC" w:rsidP="00DA2BAC">
      <w:pPr>
        <w:pStyle w:val="BodyCopy"/>
        <w:jc w:val="both"/>
        <w:rPr>
          <w:b/>
          <w:bCs/>
        </w:rPr>
      </w:pPr>
      <w:r w:rsidRPr="000C15A9">
        <w:rPr>
          <w:b/>
          <w:bCs/>
        </w:rPr>
        <w:t>Meziroční růst průměrného náj</w:t>
      </w:r>
      <w:r w:rsidR="006C1F10">
        <w:rPr>
          <w:b/>
          <w:bCs/>
        </w:rPr>
        <w:t>emného</w:t>
      </w:r>
      <w:r w:rsidRPr="000C15A9">
        <w:rPr>
          <w:b/>
          <w:bCs/>
        </w:rPr>
        <w:t xml:space="preserve"> </w:t>
      </w:r>
      <w:r w:rsidR="000C15A9">
        <w:rPr>
          <w:b/>
          <w:bCs/>
        </w:rPr>
        <w:t xml:space="preserve">dosáhl </w:t>
      </w:r>
      <w:r w:rsidRPr="000C15A9">
        <w:rPr>
          <w:b/>
          <w:bCs/>
        </w:rPr>
        <w:t>7,9 %</w:t>
      </w:r>
    </w:p>
    <w:p w14:paraId="73CA4099" w14:textId="6F220895" w:rsidR="00DA2BAC" w:rsidRDefault="006C1F10" w:rsidP="002B3FCF">
      <w:pPr>
        <w:pStyle w:val="BodyCopy"/>
        <w:jc w:val="both"/>
      </w:pPr>
      <w:r>
        <w:t>I přesto je v</w:t>
      </w:r>
      <w:r w:rsidR="000C15A9" w:rsidRPr="000C15A9">
        <w:t xml:space="preserve">ýrazný </w:t>
      </w:r>
      <w:r w:rsidR="00EF5403">
        <w:t xml:space="preserve">přírůstek </w:t>
      </w:r>
      <w:r>
        <w:t>stále</w:t>
      </w:r>
      <w:r w:rsidR="00EF5403">
        <w:t xml:space="preserve"> </w:t>
      </w:r>
      <w:r w:rsidR="000C15A9">
        <w:t>„</w:t>
      </w:r>
      <w:r w:rsidR="000C15A9" w:rsidRPr="000C15A9">
        <w:t>podinflační</w:t>
      </w:r>
      <w:r w:rsidR="000C15A9">
        <w:t xml:space="preserve">“ </w:t>
      </w:r>
      <w:r w:rsidR="00DA2BAC">
        <w:t xml:space="preserve">a </w:t>
      </w:r>
      <w:r w:rsidR="000C15A9">
        <w:t xml:space="preserve">CBRE </w:t>
      </w:r>
      <w:r w:rsidR="00DA2BAC">
        <w:t xml:space="preserve">nadále vnímá tlak na nájem ze strany vybraných nájemců či sektorů. </w:t>
      </w:r>
      <w:r>
        <w:t xml:space="preserve">Ostatně obdobně jako jinde v Evropě. </w:t>
      </w:r>
      <w:r w:rsidR="00DA2BAC">
        <w:t xml:space="preserve">Nejsilnější </w:t>
      </w:r>
      <w:r w:rsidR="008F4AB8">
        <w:t xml:space="preserve">meziroční </w:t>
      </w:r>
      <w:r w:rsidR="00DA2BAC">
        <w:t>růst průměrného nájmu zaznamenal</w:t>
      </w:r>
      <w:r w:rsidR="000C15A9">
        <w:t xml:space="preserve"> sektor e</w:t>
      </w:r>
      <w:r w:rsidR="00DA2BAC">
        <w:t>lekt</w:t>
      </w:r>
      <w:r w:rsidR="000C15A9">
        <w:t>r</w:t>
      </w:r>
      <w:r w:rsidR="00DA2BAC">
        <w:t>onik</w:t>
      </w:r>
      <w:r w:rsidR="000C15A9">
        <w:t>y</w:t>
      </w:r>
      <w:r w:rsidR="00DA2BAC">
        <w:t xml:space="preserve"> (</w:t>
      </w:r>
      <w:r w:rsidR="00EF5403">
        <w:t>+</w:t>
      </w:r>
      <w:r w:rsidR="00DA2BAC">
        <w:t>17 %)</w:t>
      </w:r>
      <w:r w:rsidR="000C15A9">
        <w:t xml:space="preserve"> a</w:t>
      </w:r>
      <w:r w:rsidR="00DA2BAC">
        <w:t xml:space="preserve"> </w:t>
      </w:r>
      <w:r w:rsidR="000C15A9">
        <w:t>s</w:t>
      </w:r>
      <w:r w:rsidR="00DA2BAC">
        <w:t xml:space="preserve">lužeb </w:t>
      </w:r>
      <w:r w:rsidR="000C15A9">
        <w:t>(</w:t>
      </w:r>
      <w:r w:rsidR="00EF5403">
        <w:t>+</w:t>
      </w:r>
      <w:r w:rsidR="00DA2BAC">
        <w:t>10</w:t>
      </w:r>
      <w:r w:rsidR="000C15A9">
        <w:t xml:space="preserve"> </w:t>
      </w:r>
      <w:r w:rsidR="00DA2BAC">
        <w:t>%</w:t>
      </w:r>
      <w:r w:rsidR="000C15A9">
        <w:t>).</w:t>
      </w:r>
      <w:r w:rsidR="002B3FCF">
        <w:t xml:space="preserve"> Naopak </w:t>
      </w:r>
      <w:r w:rsidR="00EF5403">
        <w:t>podprůměrného zvýšení dosáhly k</w:t>
      </w:r>
      <w:r w:rsidR="002B3FCF">
        <w:t>ategorie s</w:t>
      </w:r>
      <w:r w:rsidR="00DA2BAC">
        <w:t>pecializovaných potravin</w:t>
      </w:r>
      <w:r w:rsidR="002B3FCF">
        <w:t>, v</w:t>
      </w:r>
      <w:r w:rsidR="00DA2BAC">
        <w:t xml:space="preserve">ybavení domácnosti </w:t>
      </w:r>
      <w:r w:rsidR="00EF5403">
        <w:t xml:space="preserve">a </w:t>
      </w:r>
      <w:r w:rsidR="002B3FCF">
        <w:t>n</w:t>
      </w:r>
      <w:r w:rsidR="00DA2BAC">
        <w:t xml:space="preserve">ábytku </w:t>
      </w:r>
      <w:r w:rsidR="002B3FCF">
        <w:t>a také módy.</w:t>
      </w:r>
    </w:p>
    <w:p w14:paraId="207FE152" w14:textId="77777777" w:rsidR="00DA2BAC" w:rsidRDefault="00DA2BAC" w:rsidP="00DA2BAC">
      <w:pPr>
        <w:pStyle w:val="BodyCopy"/>
        <w:jc w:val="both"/>
      </w:pPr>
    </w:p>
    <w:p w14:paraId="38E60904" w14:textId="60A02DEB" w:rsidR="00EF5403" w:rsidRPr="00400652" w:rsidRDefault="006C1F10" w:rsidP="00EF5403">
      <w:pPr>
        <w:pStyle w:val="BodyCopy"/>
        <w:jc w:val="both"/>
        <w:rPr>
          <w:b/>
          <w:bCs/>
        </w:rPr>
      </w:pPr>
      <w:r>
        <w:rPr>
          <w:b/>
          <w:bCs/>
        </w:rPr>
        <w:t>První</w:t>
      </w:r>
      <w:r w:rsidR="00CA5B4D">
        <w:rPr>
          <w:b/>
          <w:bCs/>
        </w:rPr>
        <w:t xml:space="preserve"> </w:t>
      </w:r>
      <w:r w:rsidR="00EF5403" w:rsidRPr="00400652">
        <w:rPr>
          <w:b/>
          <w:bCs/>
        </w:rPr>
        <w:t xml:space="preserve">čtvrtletí </w:t>
      </w:r>
      <w:r>
        <w:rPr>
          <w:b/>
          <w:bCs/>
        </w:rPr>
        <w:t>letošního roku vzbuzuje</w:t>
      </w:r>
      <w:r w:rsidR="00CA5B4D">
        <w:rPr>
          <w:b/>
          <w:bCs/>
        </w:rPr>
        <w:t xml:space="preserve"> </w:t>
      </w:r>
      <w:r>
        <w:rPr>
          <w:b/>
          <w:bCs/>
        </w:rPr>
        <w:t xml:space="preserve">pozitivní </w:t>
      </w:r>
      <w:r w:rsidR="00CA5B4D">
        <w:rPr>
          <w:b/>
          <w:bCs/>
        </w:rPr>
        <w:t>očekávání ohledně dalšího vývoje</w:t>
      </w:r>
    </w:p>
    <w:p w14:paraId="380CB5BE" w14:textId="3372E263" w:rsidR="00400652" w:rsidRDefault="00400652" w:rsidP="00EF5403">
      <w:pPr>
        <w:pStyle w:val="BodyCopy"/>
        <w:jc w:val="both"/>
      </w:pPr>
      <w:r>
        <w:t xml:space="preserve">Začátek nového roku přinesl na maloobchodní trh </w:t>
      </w:r>
      <w:r w:rsidR="00CA5B4D">
        <w:t xml:space="preserve">mírný </w:t>
      </w:r>
      <w:r>
        <w:t xml:space="preserve">optimismus. Uzavřená data </w:t>
      </w:r>
      <w:r w:rsidR="006C1F10">
        <w:t xml:space="preserve">za první tři měsíce </w:t>
      </w:r>
      <w:r>
        <w:t xml:space="preserve">naznačují </w:t>
      </w:r>
      <w:r w:rsidR="007C538B">
        <w:t>vzestupný</w:t>
      </w:r>
      <w:r w:rsidR="006C1F10">
        <w:t xml:space="preserve"> </w:t>
      </w:r>
      <w:r>
        <w:t xml:space="preserve">trend </w:t>
      </w:r>
      <w:r w:rsidR="00CA5B4D">
        <w:t xml:space="preserve">u </w:t>
      </w:r>
      <w:r w:rsidR="007C538B">
        <w:t xml:space="preserve">téměř </w:t>
      </w:r>
      <w:r w:rsidR="00CA5B4D">
        <w:t xml:space="preserve">všech sledovaných ukazatelů. Návštěvnost meziročně vzrostla o 4 %, </w:t>
      </w:r>
      <w:r w:rsidR="0079775B">
        <w:lastRenderedPageBreak/>
        <w:t xml:space="preserve">průměrné nájmy se zvýšily o </w:t>
      </w:r>
      <w:r w:rsidR="00AF3A37">
        <w:t xml:space="preserve">3 </w:t>
      </w:r>
      <w:r w:rsidR="0079775B">
        <w:t xml:space="preserve">% a </w:t>
      </w:r>
      <w:r w:rsidR="00CA5B4D">
        <w:t xml:space="preserve">obraty </w:t>
      </w:r>
      <w:r w:rsidR="007C538B">
        <w:t>stouply</w:t>
      </w:r>
      <w:r w:rsidR="00CA5B4D">
        <w:t xml:space="preserve"> o 6 %</w:t>
      </w:r>
      <w:r w:rsidR="006007D8">
        <w:t xml:space="preserve">. </w:t>
      </w:r>
      <w:r w:rsidR="006007D8" w:rsidRPr="006007D8">
        <w:rPr>
          <w:i/>
          <w:iCs/>
        </w:rPr>
        <w:t xml:space="preserve">„Pokud se podíváme na tržby </w:t>
      </w:r>
      <w:r w:rsidR="00AF3A37" w:rsidRPr="006007D8">
        <w:rPr>
          <w:i/>
          <w:iCs/>
        </w:rPr>
        <w:t xml:space="preserve">očištěné </w:t>
      </w:r>
      <w:r w:rsidR="006007D8" w:rsidRPr="006007D8">
        <w:rPr>
          <w:i/>
          <w:iCs/>
        </w:rPr>
        <w:t>o inflaci, tak poprvé po devatenácti měsících dos</w:t>
      </w:r>
      <w:r w:rsidR="007C538B">
        <w:rPr>
          <w:i/>
          <w:iCs/>
        </w:rPr>
        <w:t>áhly p</w:t>
      </w:r>
      <w:r w:rsidR="006007D8" w:rsidRPr="006007D8">
        <w:rPr>
          <w:i/>
          <w:iCs/>
        </w:rPr>
        <w:t>lusových hodnot kolem 1 až 2 %,“</w:t>
      </w:r>
      <w:r w:rsidR="006007D8">
        <w:t xml:space="preserve"> uvádí </w:t>
      </w:r>
      <w:r w:rsidR="006007D8" w:rsidRPr="006007D8">
        <w:rPr>
          <w:b/>
          <w:bCs/>
        </w:rPr>
        <w:t>Klára Bejblová</w:t>
      </w:r>
      <w:r w:rsidR="006007D8">
        <w:t>.</w:t>
      </w:r>
    </w:p>
    <w:p w14:paraId="32CAFE5D" w14:textId="77777777" w:rsidR="00D96DE6" w:rsidRDefault="00D96DE6" w:rsidP="00EF5403">
      <w:pPr>
        <w:pStyle w:val="BodyCopy"/>
        <w:jc w:val="both"/>
      </w:pPr>
    </w:p>
    <w:p w14:paraId="773A5A36" w14:textId="44B96682" w:rsidR="006007D8" w:rsidRDefault="006007D8" w:rsidP="00EF5403">
      <w:pPr>
        <w:pStyle w:val="BodyCopy"/>
        <w:jc w:val="both"/>
      </w:pPr>
      <w:r>
        <w:t>Jediný ukazatel, který zatím vyk</w:t>
      </w:r>
      <w:r w:rsidR="007C538B">
        <w:t xml:space="preserve">ázal </w:t>
      </w:r>
      <w:r>
        <w:t xml:space="preserve">zhoršení, </w:t>
      </w:r>
      <w:r w:rsidR="007C538B">
        <w:t>byla</w:t>
      </w:r>
      <w:r>
        <w:t xml:space="preserve"> míra neobsazenosti, </w:t>
      </w:r>
      <w:r w:rsidR="007C538B">
        <w:t>když</w:t>
      </w:r>
      <w:r>
        <w:t xml:space="preserve"> </w:t>
      </w:r>
      <w:r w:rsidR="007C538B">
        <w:t>lehce</w:t>
      </w:r>
      <w:r w:rsidR="00391463">
        <w:t xml:space="preserve"> </w:t>
      </w:r>
      <w:r>
        <w:t xml:space="preserve">stoupla na 4,4 %. </w:t>
      </w:r>
      <w:r w:rsidRPr="00391463">
        <w:rPr>
          <w:i/>
          <w:iCs/>
        </w:rPr>
        <w:t>„Nicméně takový jev je počátkem roku poměrně běžný. Někte</w:t>
      </w:r>
      <w:r w:rsidR="007C538B">
        <w:rPr>
          <w:i/>
          <w:iCs/>
        </w:rPr>
        <w:t>ré značky své nájmy k</w:t>
      </w:r>
      <w:r w:rsidRPr="00391463">
        <w:rPr>
          <w:i/>
          <w:iCs/>
        </w:rPr>
        <w:t>ončí, u jiných se teprve uzavírají nové smlouvy.</w:t>
      </w:r>
      <w:r w:rsidR="00371877">
        <w:rPr>
          <w:i/>
          <w:iCs/>
        </w:rPr>
        <w:t xml:space="preserve"> </w:t>
      </w:r>
      <w:r w:rsidR="00391463" w:rsidRPr="00391463">
        <w:rPr>
          <w:i/>
          <w:iCs/>
        </w:rPr>
        <w:t>Každopádně</w:t>
      </w:r>
      <w:r w:rsidRPr="00391463">
        <w:rPr>
          <w:i/>
          <w:iCs/>
        </w:rPr>
        <w:t xml:space="preserve"> určitý podíl neobsazenosti</w:t>
      </w:r>
      <w:r w:rsidR="00391463" w:rsidRPr="00391463">
        <w:rPr>
          <w:i/>
          <w:iCs/>
        </w:rPr>
        <w:t xml:space="preserve"> </w:t>
      </w:r>
      <w:r w:rsidRPr="00391463">
        <w:rPr>
          <w:i/>
          <w:iCs/>
        </w:rPr>
        <w:t xml:space="preserve">je nezbytný, </w:t>
      </w:r>
      <w:r w:rsidR="00391463" w:rsidRPr="00391463">
        <w:rPr>
          <w:i/>
          <w:iCs/>
        </w:rPr>
        <w:t xml:space="preserve">pokud </w:t>
      </w:r>
      <w:r w:rsidR="007C538B">
        <w:rPr>
          <w:i/>
          <w:iCs/>
        </w:rPr>
        <w:t>v </w:t>
      </w:r>
      <w:r w:rsidRPr="00391463">
        <w:rPr>
          <w:i/>
          <w:iCs/>
        </w:rPr>
        <w:t>centr</w:t>
      </w:r>
      <w:r w:rsidR="007C538B">
        <w:rPr>
          <w:i/>
          <w:iCs/>
        </w:rPr>
        <w:t>u chcete</w:t>
      </w:r>
      <w:r w:rsidRPr="00391463">
        <w:rPr>
          <w:i/>
          <w:iCs/>
        </w:rPr>
        <w:t xml:space="preserve"> </w:t>
      </w:r>
      <w:r w:rsidR="00391463" w:rsidRPr="00391463">
        <w:rPr>
          <w:i/>
          <w:iCs/>
        </w:rPr>
        <w:t>realizovat</w:t>
      </w:r>
      <w:r w:rsidRPr="00391463">
        <w:rPr>
          <w:i/>
          <w:iCs/>
        </w:rPr>
        <w:t xml:space="preserve"> nějakou strukturální změnu. Očekávám</w:t>
      </w:r>
      <w:r w:rsidR="007C538B">
        <w:rPr>
          <w:i/>
          <w:iCs/>
        </w:rPr>
        <w:t xml:space="preserve"> proto</w:t>
      </w:r>
      <w:r w:rsidRPr="00391463">
        <w:rPr>
          <w:i/>
          <w:iCs/>
        </w:rPr>
        <w:t>, že do konce roku</w:t>
      </w:r>
      <w:r w:rsidR="00391463" w:rsidRPr="00391463">
        <w:rPr>
          <w:i/>
          <w:iCs/>
        </w:rPr>
        <w:t xml:space="preserve"> se situace stabilizuje,“ </w:t>
      </w:r>
      <w:r w:rsidR="00391463">
        <w:t xml:space="preserve">popisuje </w:t>
      </w:r>
      <w:r w:rsidR="00391463" w:rsidRPr="00391463">
        <w:rPr>
          <w:b/>
          <w:bCs/>
        </w:rPr>
        <w:t>Klára Bejblová</w:t>
      </w:r>
      <w:r w:rsidR="00391463">
        <w:t>.</w:t>
      </w:r>
    </w:p>
    <w:p w14:paraId="0A485357" w14:textId="16CE0BB6" w:rsidR="00400652" w:rsidRDefault="00400652" w:rsidP="00EF5403">
      <w:pPr>
        <w:pStyle w:val="BodyCopy"/>
        <w:jc w:val="both"/>
      </w:pPr>
    </w:p>
    <w:p w14:paraId="186313C1" w14:textId="01FCFEBD" w:rsidR="0086508E" w:rsidRPr="00114309" w:rsidRDefault="007C538B" w:rsidP="0086508E">
      <w:pPr>
        <w:pStyle w:val="BodyCopy"/>
        <w:jc w:val="both"/>
      </w:pPr>
      <w:r>
        <w:rPr>
          <w:b/>
          <w:bCs/>
        </w:rPr>
        <w:t>Současná</w:t>
      </w:r>
      <w:r w:rsidR="00AE2CE8" w:rsidRPr="00114309">
        <w:rPr>
          <w:b/>
          <w:bCs/>
        </w:rPr>
        <w:t xml:space="preserve"> s</w:t>
      </w:r>
      <w:r w:rsidR="0086508E" w:rsidRPr="00114309">
        <w:rPr>
          <w:b/>
          <w:bCs/>
        </w:rPr>
        <w:t xml:space="preserve">ituace na trhu se promítá </w:t>
      </w:r>
      <w:r w:rsidR="00AE2CE8" w:rsidRPr="00114309">
        <w:rPr>
          <w:b/>
          <w:bCs/>
        </w:rPr>
        <w:t xml:space="preserve">i </w:t>
      </w:r>
      <w:r w:rsidR="0086508E" w:rsidRPr="00114309">
        <w:rPr>
          <w:b/>
          <w:bCs/>
        </w:rPr>
        <w:t xml:space="preserve">do strategií a plánů </w:t>
      </w:r>
      <w:r w:rsidR="00AE2CE8" w:rsidRPr="00114309">
        <w:rPr>
          <w:b/>
          <w:bCs/>
        </w:rPr>
        <w:t>maloobchodníků</w:t>
      </w:r>
      <w:r w:rsidR="0086508E" w:rsidRPr="00114309">
        <w:t xml:space="preserve"> </w:t>
      </w:r>
    </w:p>
    <w:p w14:paraId="17D901E8" w14:textId="77F7E16F" w:rsidR="00E97B7F" w:rsidRDefault="00D1582D" w:rsidP="00114309">
      <w:pPr>
        <w:pStyle w:val="BodyCopy"/>
        <w:jc w:val="both"/>
      </w:pPr>
      <w:r w:rsidRPr="00D1582D">
        <w:t xml:space="preserve">Pozitivní nálada je patrná </w:t>
      </w:r>
      <w:r w:rsidR="00D96DE6">
        <w:t xml:space="preserve">i </w:t>
      </w:r>
      <w:r w:rsidRPr="00D1582D">
        <w:t xml:space="preserve">u samotných maloobchodníků. </w:t>
      </w:r>
      <w:r w:rsidRPr="00D1582D">
        <w:rPr>
          <w:i/>
          <w:iCs/>
        </w:rPr>
        <w:t>„Výsledky květnového průzkumu CBRE ukazují, že 57 % respondentů plánuje rozšíření své maloobchodní sítě ve smyslu počtu prodejen; naopak 30 % z</w:t>
      </w:r>
      <w:r w:rsidR="00D96DE6">
        <w:rPr>
          <w:i/>
          <w:iCs/>
        </w:rPr>
        <w:t> </w:t>
      </w:r>
      <w:r w:rsidRPr="00D1582D">
        <w:rPr>
          <w:i/>
          <w:iCs/>
        </w:rPr>
        <w:t>nich hodlá zmenšovat průměrnou velikost jednotek. Zvětšovat portfolio se logicky chystají segmenty, které meziročně dosáhly velmi dobrých tržeb, ať už jde o provozovatele ze sektoru gastronomie anebo zdraví a krásy. Ovšem expandovat se nezdráhá ani 56 % dotázaných značek ze sektoru módy, který vloni meziročně propadl,“</w:t>
      </w:r>
      <w:r w:rsidR="00D96DE6">
        <w:rPr>
          <w:i/>
          <w:iCs/>
        </w:rPr>
        <w:t xml:space="preserve"> </w:t>
      </w:r>
      <w:r w:rsidRPr="00D1582D">
        <w:t xml:space="preserve">komentuje </w:t>
      </w:r>
      <w:r w:rsidRPr="00D1582D">
        <w:rPr>
          <w:b/>
          <w:bCs/>
        </w:rPr>
        <w:t>Jan Janáček, vedoucí retail sektoru a oddělení maloobchodních pronájmů v CBRE</w:t>
      </w:r>
      <w:r w:rsidRPr="00D1582D">
        <w:t>.</w:t>
      </w:r>
    </w:p>
    <w:p w14:paraId="39665C96" w14:textId="77777777" w:rsidR="00AE2CE8" w:rsidRDefault="00AE2CE8" w:rsidP="0086508E">
      <w:pPr>
        <w:pStyle w:val="BodyCopy"/>
        <w:jc w:val="both"/>
        <w:rPr>
          <w:i/>
          <w:iCs/>
          <w:highlight w:val="yellow"/>
        </w:rPr>
      </w:pPr>
    </w:p>
    <w:p w14:paraId="730C94E3" w14:textId="4181673D" w:rsidR="0075368D" w:rsidRDefault="0086508E" w:rsidP="0075368D">
      <w:pPr>
        <w:pStyle w:val="BodyCopy"/>
        <w:jc w:val="both"/>
      </w:pPr>
      <w:r w:rsidRPr="0011032A">
        <w:t xml:space="preserve">Z pohledu preferovaných lokalit pro expanzi </w:t>
      </w:r>
      <w:r w:rsidR="00D1582D">
        <w:t xml:space="preserve">jsou </w:t>
      </w:r>
      <w:r w:rsidRPr="0011032A">
        <w:t>jednoznačně</w:t>
      </w:r>
      <w:r w:rsidR="00E97B7F">
        <w:t xml:space="preserve"> stále populární</w:t>
      </w:r>
      <w:r w:rsidRPr="0011032A">
        <w:t xml:space="preserve"> regionální obchodní centra</w:t>
      </w:r>
      <w:r w:rsidR="0011032A" w:rsidRPr="0011032A">
        <w:t xml:space="preserve"> s větší spádovou oblastí. Dlouhodobě </w:t>
      </w:r>
      <w:r w:rsidR="00A43DC2">
        <w:t>také</w:t>
      </w:r>
      <w:r w:rsidR="00A43DC2" w:rsidRPr="0011032A">
        <w:t xml:space="preserve"> </w:t>
      </w:r>
      <w:r w:rsidR="0011032A" w:rsidRPr="0011032A">
        <w:t xml:space="preserve">roste </w:t>
      </w:r>
      <w:r w:rsidR="0075368D">
        <w:t>obliba</w:t>
      </w:r>
      <w:r w:rsidR="0011032A" w:rsidRPr="0011032A">
        <w:t xml:space="preserve"> retailových parků, a to i u maloobchodníků, kteří</w:t>
      </w:r>
      <w:r w:rsidR="00AB426F">
        <w:t> </w:t>
      </w:r>
      <w:r w:rsidR="0011032A" w:rsidRPr="0011032A">
        <w:t>v minulosti tento typ nemovitostí nevyhledávali.</w:t>
      </w:r>
      <w:r w:rsidR="00A43DC2">
        <w:t xml:space="preserve"> </w:t>
      </w:r>
      <w:r w:rsidR="0075368D" w:rsidRPr="0075368D">
        <w:rPr>
          <w:i/>
          <w:iCs/>
        </w:rPr>
        <w:t>„</w:t>
      </w:r>
      <w:r w:rsidR="00027353">
        <w:rPr>
          <w:i/>
          <w:iCs/>
        </w:rPr>
        <w:t>N</w:t>
      </w:r>
      <w:r w:rsidR="0011032A" w:rsidRPr="0075368D">
        <w:rPr>
          <w:i/>
          <w:iCs/>
        </w:rPr>
        <w:t xml:space="preserve">ově jsme zaznamenali velký posun v oblibě transportních hubů jako jsou nádraží, letiště či čerpací stanice, ve kterých se v současnosti nachází pouze 5 % dotázaných značek, ale </w:t>
      </w:r>
      <w:r w:rsidR="00027353">
        <w:rPr>
          <w:i/>
          <w:iCs/>
        </w:rPr>
        <w:t xml:space="preserve">v rámci rozvoje portfolia se na ně </w:t>
      </w:r>
      <w:r w:rsidR="0075368D" w:rsidRPr="0075368D">
        <w:rPr>
          <w:i/>
          <w:iCs/>
        </w:rPr>
        <w:t xml:space="preserve">plánuje zaměřit </w:t>
      </w:r>
      <w:r w:rsidR="0071718F">
        <w:rPr>
          <w:i/>
          <w:iCs/>
        </w:rPr>
        <w:t>1</w:t>
      </w:r>
      <w:r w:rsidR="00D1582D">
        <w:rPr>
          <w:i/>
          <w:iCs/>
        </w:rPr>
        <w:t>4</w:t>
      </w:r>
      <w:r w:rsidR="0071718F" w:rsidRPr="0075368D">
        <w:rPr>
          <w:i/>
          <w:iCs/>
        </w:rPr>
        <w:t xml:space="preserve"> </w:t>
      </w:r>
      <w:r w:rsidR="0011032A" w:rsidRPr="0075368D">
        <w:rPr>
          <w:i/>
          <w:iCs/>
        </w:rPr>
        <w:t>%</w:t>
      </w:r>
      <w:r w:rsidR="00027353">
        <w:rPr>
          <w:i/>
          <w:iCs/>
        </w:rPr>
        <w:t xml:space="preserve"> </w:t>
      </w:r>
      <w:r w:rsidR="00A43DC2">
        <w:rPr>
          <w:i/>
          <w:iCs/>
        </w:rPr>
        <w:t>obchodníků</w:t>
      </w:r>
      <w:r w:rsidR="0075368D" w:rsidRPr="0075368D">
        <w:rPr>
          <w:i/>
          <w:iCs/>
        </w:rPr>
        <w:t>,“</w:t>
      </w:r>
      <w:r w:rsidR="0075368D">
        <w:t xml:space="preserve"> uvádí </w:t>
      </w:r>
      <w:r w:rsidR="0075368D" w:rsidRPr="0075368D">
        <w:rPr>
          <w:b/>
          <w:bCs/>
        </w:rPr>
        <w:t>Jan Janáček</w:t>
      </w:r>
      <w:r w:rsidR="00AB426F">
        <w:t xml:space="preserve"> s tím, že p</w:t>
      </w:r>
      <w:r w:rsidR="00C26A89">
        <w:t>okud jde o</w:t>
      </w:r>
      <w:r w:rsidR="00C26A89" w:rsidRPr="00C26A89">
        <w:t xml:space="preserve"> </w:t>
      </w:r>
      <w:r w:rsidR="00C0277C">
        <w:t xml:space="preserve">případné nejistoty, tak retaileři mají letos největší obavy z nedostatku </w:t>
      </w:r>
      <w:r w:rsidR="0075368D">
        <w:t>pracovní síly</w:t>
      </w:r>
      <w:r w:rsidR="00C26A89">
        <w:t xml:space="preserve"> (</w:t>
      </w:r>
      <w:r w:rsidR="00C0277C">
        <w:t>uvedlo</w:t>
      </w:r>
      <w:r w:rsidR="00C26A89">
        <w:t xml:space="preserve"> 42 % dotázaných)</w:t>
      </w:r>
      <w:r w:rsidR="00D1582D">
        <w:t xml:space="preserve">, </w:t>
      </w:r>
      <w:r w:rsidR="00D1582D" w:rsidRPr="00D1582D">
        <w:t>rapidně rostoucích nákladů na mzdy a nájmy</w:t>
      </w:r>
      <w:r w:rsidR="00C0277C">
        <w:t xml:space="preserve"> a </w:t>
      </w:r>
      <w:r w:rsidR="00D96DE6">
        <w:t>také</w:t>
      </w:r>
      <w:r w:rsidR="00C0277C">
        <w:t xml:space="preserve"> </w:t>
      </w:r>
      <w:r w:rsidR="0075368D">
        <w:t>z pomalého tempa oživení prodejů</w:t>
      </w:r>
      <w:r w:rsidR="00C0277C">
        <w:t>.</w:t>
      </w:r>
    </w:p>
    <w:p w14:paraId="27137C55" w14:textId="77777777" w:rsidR="00D1582D" w:rsidRDefault="00D1582D" w:rsidP="0075368D">
      <w:pPr>
        <w:pStyle w:val="BodyCopy"/>
        <w:jc w:val="both"/>
      </w:pPr>
    </w:p>
    <w:p w14:paraId="5A400B22" w14:textId="77777777" w:rsidR="00281456" w:rsidRPr="00281456" w:rsidRDefault="00281456" w:rsidP="00281456">
      <w:pPr>
        <w:pStyle w:val="BodyCopy"/>
        <w:jc w:val="both"/>
        <w:rPr>
          <w:u w:val="single"/>
        </w:rPr>
      </w:pPr>
      <w:r w:rsidRPr="00281456">
        <w:rPr>
          <w:u w:val="single"/>
        </w:rPr>
        <w:t>O Shopping Centre Indexu</w:t>
      </w:r>
    </w:p>
    <w:p w14:paraId="53779155" w14:textId="46CF55EF" w:rsidR="00DA6F44" w:rsidRDefault="00281456" w:rsidP="00281456">
      <w:pPr>
        <w:pStyle w:val="BodyCopy"/>
        <w:jc w:val="both"/>
      </w:pPr>
      <w:r>
        <w:t>CBRE Shopping Centre Index je jediným tržním ukazatelem, který nepřetržitě sleduje výkonnost regionálních nákupních center v České republice, a to od roku 2013. Analyzuje vzorek 2</w:t>
      </w:r>
      <w:r w:rsidR="00EE4666">
        <w:t>3</w:t>
      </w:r>
      <w:r>
        <w:t xml:space="preserve"> nákupních center v regionech (kromě Prahy) s maloobchodní plochou přesahující 6</w:t>
      </w:r>
      <w:r w:rsidR="00EE4666">
        <w:t>6</w:t>
      </w:r>
      <w:r>
        <w:t>0 000 m</w:t>
      </w:r>
      <w:r w:rsidRPr="00FE5772">
        <w:rPr>
          <w:vertAlign w:val="superscript"/>
        </w:rPr>
        <w:t>2</w:t>
      </w:r>
      <w:r>
        <w:t xml:space="preserve">, tzn. </w:t>
      </w:r>
      <w:r w:rsidR="00EE4666" w:rsidRPr="004A46D6">
        <w:t>kolem</w:t>
      </w:r>
      <w:r w:rsidRPr="004A46D6">
        <w:t xml:space="preserve"> </w:t>
      </w:r>
      <w:r w:rsidR="00EE4666" w:rsidRPr="004A46D6">
        <w:t>40</w:t>
      </w:r>
      <w:r w:rsidRPr="004A46D6">
        <w:t xml:space="preserve"> %</w:t>
      </w:r>
      <w:r>
        <w:t xml:space="preserve"> z celkového objemu nákupních center v regionech. Přibližně 70 až 85 % plochy tvoří nákupní galerie, zbytek zaujímají potravinové řetězce, multiplexy a další volnočasové koncepty jako dětské koutky, bowlingové herny, kasina nebo myčky aut, které se nachází až ve třetině center. Právě tyto segmenty (mimo nákupní galerie) nejsou součástí indexu, protože by mohly způsobit zkreslení výsledků.</w:t>
      </w:r>
    </w:p>
    <w:p w14:paraId="60786E37" w14:textId="77777777" w:rsidR="00281456" w:rsidRDefault="00281456" w:rsidP="00281456">
      <w:pPr>
        <w:pStyle w:val="BodyCopy"/>
        <w:jc w:val="both"/>
      </w:pPr>
    </w:p>
    <w:p w14:paraId="27D139A0" w14:textId="598C3867" w:rsidR="006077F7" w:rsidRPr="00C6374A" w:rsidRDefault="7110F824" w:rsidP="00784D2C">
      <w:pPr>
        <w:pStyle w:val="BodyCopy"/>
        <w:jc w:val="both"/>
        <w:rPr>
          <w:u w:val="single"/>
        </w:rPr>
      </w:pPr>
      <w:r w:rsidRPr="00C6374A">
        <w:rPr>
          <w:u w:val="single"/>
        </w:rPr>
        <w:t>Více o aktuální</w:t>
      </w:r>
      <w:r w:rsidR="0023407C">
        <w:rPr>
          <w:u w:val="single"/>
        </w:rPr>
        <w:t>m</w:t>
      </w:r>
      <w:r w:rsidRPr="00C6374A">
        <w:rPr>
          <w:u w:val="single"/>
        </w:rPr>
        <w:t xml:space="preserve"> průzkum</w:t>
      </w:r>
      <w:r w:rsidR="0023407C">
        <w:rPr>
          <w:u w:val="single"/>
        </w:rPr>
        <w:t>u</w:t>
      </w:r>
    </w:p>
    <w:p w14:paraId="59AA5AF8" w14:textId="550CE735" w:rsidR="0082117E" w:rsidRPr="0082117E" w:rsidRDefault="00B900B8" w:rsidP="00ED5A96">
      <w:pPr>
        <w:pStyle w:val="BodyCopy"/>
        <w:jc w:val="both"/>
      </w:pPr>
      <w:r>
        <w:rPr>
          <w:color w:val="425153"/>
        </w:rPr>
        <w:t>P</w:t>
      </w:r>
      <w:r w:rsidR="7110F824" w:rsidRPr="00C6374A">
        <w:rPr>
          <w:color w:val="425153"/>
        </w:rPr>
        <w:t>růzkum očekávání a str</w:t>
      </w:r>
      <w:r w:rsidR="00D02098" w:rsidRPr="00C6374A">
        <w:rPr>
          <w:color w:val="425153"/>
        </w:rPr>
        <w:t xml:space="preserve">ategie maloobchodníků proběhl </w:t>
      </w:r>
      <w:r w:rsidRPr="00B900B8">
        <w:rPr>
          <w:color w:val="425153"/>
        </w:rPr>
        <w:t xml:space="preserve">od 3. do 15. května </w:t>
      </w:r>
      <w:r w:rsidR="00AB426F">
        <w:rPr>
          <w:color w:val="425153"/>
        </w:rPr>
        <w:t>2024</w:t>
      </w:r>
      <w:r w:rsidR="7110F824" w:rsidRPr="00C6374A">
        <w:rPr>
          <w:color w:val="425153"/>
        </w:rPr>
        <w:t xml:space="preserve">, kdy skupinu respondentů tvořilo </w:t>
      </w:r>
      <w:r>
        <w:rPr>
          <w:color w:val="425153"/>
        </w:rPr>
        <w:t xml:space="preserve">40 </w:t>
      </w:r>
      <w:r w:rsidRPr="00B900B8">
        <w:rPr>
          <w:color w:val="425153"/>
        </w:rPr>
        <w:t xml:space="preserve">maloobchodních značek </w:t>
      </w:r>
      <w:r>
        <w:rPr>
          <w:color w:val="425153"/>
        </w:rPr>
        <w:t xml:space="preserve">provozujících </w:t>
      </w:r>
      <w:r w:rsidRPr="00B900B8">
        <w:rPr>
          <w:color w:val="425153"/>
        </w:rPr>
        <w:t>více něž 3</w:t>
      </w:r>
      <w:r w:rsidR="00ED5A96">
        <w:rPr>
          <w:color w:val="425153"/>
        </w:rPr>
        <w:t xml:space="preserve"> </w:t>
      </w:r>
      <w:r w:rsidRPr="00B900B8">
        <w:rPr>
          <w:color w:val="425153"/>
        </w:rPr>
        <w:t>725 prodej</w:t>
      </w:r>
      <w:r w:rsidR="00ED5A96">
        <w:rPr>
          <w:color w:val="425153"/>
        </w:rPr>
        <w:t>en</w:t>
      </w:r>
      <w:r w:rsidRPr="00B900B8">
        <w:rPr>
          <w:color w:val="425153"/>
        </w:rPr>
        <w:t xml:space="preserve"> napříč Českou </w:t>
      </w:r>
      <w:r w:rsidRPr="00EA5FEC">
        <w:rPr>
          <w:color w:val="425153"/>
        </w:rPr>
        <w:t>republikou</w:t>
      </w:r>
      <w:r w:rsidR="7110F824" w:rsidRPr="00EA5FEC">
        <w:rPr>
          <w:color w:val="425153"/>
        </w:rPr>
        <w:t xml:space="preserve"> v</w:t>
      </w:r>
      <w:r w:rsidR="00EA5FEC">
        <w:rPr>
          <w:color w:val="425153"/>
        </w:rPr>
        <w:t> 6 hl</w:t>
      </w:r>
      <w:r w:rsidR="7110F824" w:rsidRPr="00EA5FEC">
        <w:rPr>
          <w:color w:val="425153"/>
        </w:rPr>
        <w:t>avních segmentech</w:t>
      </w:r>
      <w:r w:rsidR="00C6374A" w:rsidRPr="00EA5FEC">
        <w:rPr>
          <w:color w:val="425153"/>
        </w:rPr>
        <w:t xml:space="preserve"> </w:t>
      </w:r>
      <w:r w:rsidR="0057480D" w:rsidRPr="00EA5FEC">
        <w:rPr>
          <w:color w:val="425153"/>
        </w:rPr>
        <w:t>(oblečení a obuv, zdraví a</w:t>
      </w:r>
      <w:r w:rsidR="00A60DF9" w:rsidRPr="00EA5FEC">
        <w:rPr>
          <w:color w:val="425153"/>
        </w:rPr>
        <w:t> </w:t>
      </w:r>
      <w:r w:rsidR="0057480D" w:rsidRPr="00EA5FEC">
        <w:rPr>
          <w:color w:val="425153"/>
        </w:rPr>
        <w:t>krása, gastronomie, služby, obchod s</w:t>
      </w:r>
      <w:r w:rsidR="00AB426F">
        <w:rPr>
          <w:color w:val="425153"/>
        </w:rPr>
        <w:t> </w:t>
      </w:r>
      <w:r w:rsidR="0057480D" w:rsidRPr="00EA5FEC">
        <w:rPr>
          <w:color w:val="425153"/>
        </w:rPr>
        <w:t>potravinami a sportovní potřeby)</w:t>
      </w:r>
      <w:r w:rsidR="00ED5A96" w:rsidRPr="00EA5FEC">
        <w:rPr>
          <w:color w:val="425153"/>
        </w:rPr>
        <w:t>.</w:t>
      </w:r>
    </w:p>
    <w:p w14:paraId="44C32FEE" w14:textId="77777777" w:rsidR="0082117E" w:rsidRDefault="0082117E" w:rsidP="00784D2C">
      <w:pPr>
        <w:pStyle w:val="BodyCopy"/>
        <w:jc w:val="both"/>
        <w:rPr>
          <w:u w:val="single"/>
        </w:rPr>
      </w:pPr>
    </w:p>
    <w:p w14:paraId="35C083E9" w14:textId="2076A3DC" w:rsidR="006077F7" w:rsidRPr="001C5E35" w:rsidRDefault="7CA79AFA" w:rsidP="00784D2C">
      <w:pPr>
        <w:pStyle w:val="BodyCopy"/>
        <w:jc w:val="both"/>
        <w:rPr>
          <w:u w:val="single"/>
        </w:rPr>
      </w:pPr>
      <w:r w:rsidRPr="7110F824">
        <w:rPr>
          <w:u w:val="single"/>
        </w:rPr>
        <w:t>O CBRE Retail</w:t>
      </w:r>
    </w:p>
    <w:p w14:paraId="6B57FAFA" w14:textId="61F50DAD" w:rsidR="00DE2403" w:rsidRDefault="7110F824" w:rsidP="00784D2C">
      <w:pPr>
        <w:pStyle w:val="BodyCopy"/>
        <w:jc w:val="both"/>
      </w:pPr>
      <w:r>
        <w:t>CBRE je expertem na správu maloobchodních ploch, přičemž aktuálně má ve správě</w:t>
      </w:r>
      <w:r w:rsidR="00D1226E">
        <w:t xml:space="preserve"> </w:t>
      </w:r>
      <w:r w:rsidR="1FA509A7">
        <w:t>23 obchodních center a retailových parků napříč Českou republikou</w:t>
      </w:r>
      <w:r>
        <w:t xml:space="preserve">. </w:t>
      </w:r>
      <w:r w:rsidR="7CA79AFA">
        <w:t>Poskytuje rozsáhlé a komplexní poradenství v oblasti nákupu a prodeje maloobchodních aktiv, pronájmu maloobchodních prostor, zastupování nájemců při</w:t>
      </w:r>
      <w:r w:rsidR="00AB426F">
        <w:t> </w:t>
      </w:r>
      <w:r w:rsidR="7CA79AFA">
        <w:t>vstupu na</w:t>
      </w:r>
      <w:r w:rsidR="000C2C26">
        <w:t> </w:t>
      </w:r>
      <w:r w:rsidR="7CA79AFA">
        <w:t>český trh nebo optimalizaci sítě prodejen, a dále správu, marketing a koncept design nákupních center a retail parků. V neposlední řadě je lídrem v průzkumu maloobchodního trhu a chování zákazníků.</w:t>
      </w:r>
    </w:p>
    <w:p w14:paraId="126807C2" w14:textId="77777777" w:rsidR="00375AC5" w:rsidRDefault="00281456" w:rsidP="00375AC5">
      <w:pPr>
        <w:pStyle w:val="Contact"/>
        <w:jc w:val="both"/>
      </w:pPr>
      <w:r>
        <w:br/>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375AC5" w14:paraId="6D08E1C4" w14:textId="77777777" w:rsidTr="00AA5DAE">
        <w:tc>
          <w:tcPr>
            <w:tcW w:w="5035" w:type="dxa"/>
          </w:tcPr>
          <w:p w14:paraId="3BFE4B8F" w14:textId="77777777" w:rsidR="00375AC5" w:rsidRDefault="00375AC5" w:rsidP="00AA5DAE">
            <w:pPr>
              <w:pStyle w:val="paragraph"/>
              <w:spacing w:beforeAutospacing="0" w:afterAutospacing="0"/>
              <w:textAlignment w:val="baseline"/>
              <w:rPr>
                <w:rStyle w:val="normaltextrun"/>
                <w:color w:val="425254"/>
              </w:rPr>
            </w:pPr>
            <w:r>
              <w:rPr>
                <w:rStyle w:val="normaltextrun"/>
                <w:color w:val="425254"/>
              </w:rPr>
              <w:t>Kontakty</w:t>
            </w:r>
          </w:p>
          <w:p w14:paraId="25A57BA0" w14:textId="77777777" w:rsidR="00375AC5" w:rsidRDefault="00375AC5" w:rsidP="00AA5DAE">
            <w:pPr>
              <w:pStyle w:val="paragraph"/>
              <w:spacing w:beforeAutospacing="0" w:afterAutospacing="0"/>
              <w:textAlignment w:val="baseline"/>
              <w:rPr>
                <w:rFonts w:ascii="Segoe UI" w:hAnsi="Segoe UI" w:cs="Segoe UI"/>
                <w:b/>
                <w:bCs/>
                <w:color w:val="425254"/>
                <w:sz w:val="18"/>
                <w:szCs w:val="18"/>
              </w:rPr>
            </w:pPr>
          </w:p>
        </w:tc>
        <w:tc>
          <w:tcPr>
            <w:tcW w:w="5035" w:type="dxa"/>
          </w:tcPr>
          <w:p w14:paraId="58847853" w14:textId="77777777" w:rsidR="00375AC5" w:rsidRDefault="00375AC5" w:rsidP="00AA5DAE">
            <w:pPr>
              <w:pStyle w:val="paragraph"/>
              <w:spacing w:beforeAutospacing="0" w:afterAutospacing="0"/>
              <w:textAlignment w:val="baseline"/>
              <w:rPr>
                <w:rFonts w:ascii="Segoe UI" w:hAnsi="Segoe UI" w:cs="Segoe UI"/>
                <w:b/>
                <w:bCs/>
                <w:color w:val="425254"/>
                <w:sz w:val="18"/>
                <w:szCs w:val="18"/>
              </w:rPr>
            </w:pPr>
          </w:p>
        </w:tc>
      </w:tr>
      <w:tr w:rsidR="00375AC5" w14:paraId="0A6004D4" w14:textId="77777777" w:rsidTr="00AA5DAE">
        <w:tc>
          <w:tcPr>
            <w:tcW w:w="5035" w:type="dxa"/>
          </w:tcPr>
          <w:p w14:paraId="08C9FF56" w14:textId="77777777" w:rsidR="00375AC5" w:rsidRDefault="00375AC5" w:rsidP="00AA5DAE">
            <w:pPr>
              <w:pStyle w:val="paragraph"/>
              <w:spacing w:beforeAutospacing="0" w:afterAutospacing="0"/>
              <w:textAlignment w:val="baseline"/>
              <w:rPr>
                <w:rFonts w:ascii="Segoe UI" w:hAnsi="Segoe UI" w:cs="Segoe UI"/>
                <w:b/>
                <w:bCs/>
                <w:color w:val="425254"/>
                <w:sz w:val="18"/>
                <w:szCs w:val="18"/>
              </w:rPr>
            </w:pPr>
            <w:proofErr w:type="spellStart"/>
            <w:r>
              <w:rPr>
                <w:rStyle w:val="normaltextrun"/>
                <w:color w:val="425254"/>
              </w:rPr>
              <w:t>Crest</w:t>
            </w:r>
            <w:proofErr w:type="spellEnd"/>
            <w:r>
              <w:rPr>
                <w:rStyle w:val="normaltextrun"/>
                <w:color w:val="425254"/>
              </w:rPr>
              <w:t xml:space="preserve"> Communications, a.s.</w:t>
            </w:r>
            <w:r>
              <w:rPr>
                <w:rStyle w:val="eop"/>
                <w:color w:val="425254"/>
              </w:rPr>
              <w:t> </w:t>
            </w:r>
          </w:p>
        </w:tc>
        <w:tc>
          <w:tcPr>
            <w:tcW w:w="5035" w:type="dxa"/>
          </w:tcPr>
          <w:p w14:paraId="485545B5" w14:textId="77777777" w:rsidR="00375AC5" w:rsidRDefault="00375AC5" w:rsidP="00AA5DAE">
            <w:pPr>
              <w:pStyle w:val="paragraph"/>
              <w:spacing w:beforeAutospacing="0" w:afterAutospacing="0"/>
              <w:textAlignment w:val="baseline"/>
              <w:rPr>
                <w:rFonts w:ascii="Segoe UI" w:hAnsi="Segoe UI" w:cs="Segoe UI"/>
                <w:b/>
                <w:bCs/>
                <w:color w:val="425254"/>
                <w:sz w:val="18"/>
                <w:szCs w:val="18"/>
              </w:rPr>
            </w:pPr>
          </w:p>
        </w:tc>
      </w:tr>
      <w:tr w:rsidR="00375AC5" w14:paraId="6FA810F4" w14:textId="77777777" w:rsidTr="00AA5DAE">
        <w:tc>
          <w:tcPr>
            <w:tcW w:w="5035" w:type="dxa"/>
          </w:tcPr>
          <w:p w14:paraId="20A5E4DA" w14:textId="77777777" w:rsidR="00375AC5" w:rsidRDefault="00375AC5" w:rsidP="00AA5DAE">
            <w:pPr>
              <w:pStyle w:val="paragraph"/>
              <w:spacing w:beforeAutospacing="0" w:afterAutospacing="0"/>
              <w:textAlignment w:val="baseline"/>
              <w:rPr>
                <w:rFonts w:ascii="Segoe UI" w:hAnsi="Segoe UI" w:cs="Segoe UI"/>
                <w:b/>
                <w:bCs/>
                <w:color w:val="425254"/>
                <w:sz w:val="18"/>
                <w:szCs w:val="18"/>
              </w:rPr>
            </w:pPr>
            <w:r>
              <w:rPr>
                <w:rStyle w:val="normaltextrun"/>
                <w:color w:val="425254"/>
              </w:rPr>
              <w:t>Denisa Kolaříková</w:t>
            </w:r>
          </w:p>
        </w:tc>
        <w:tc>
          <w:tcPr>
            <w:tcW w:w="5035" w:type="dxa"/>
          </w:tcPr>
          <w:p w14:paraId="17493CA4" w14:textId="77777777" w:rsidR="00375AC5" w:rsidRDefault="00375AC5" w:rsidP="00AA5DAE">
            <w:pPr>
              <w:pStyle w:val="paragraph"/>
              <w:spacing w:beforeAutospacing="0" w:afterAutospacing="0"/>
              <w:textAlignment w:val="baseline"/>
              <w:rPr>
                <w:rFonts w:ascii="Segoe UI" w:hAnsi="Segoe UI" w:cs="Segoe UI"/>
                <w:b/>
                <w:bCs/>
                <w:color w:val="425254"/>
                <w:sz w:val="18"/>
                <w:szCs w:val="18"/>
              </w:rPr>
            </w:pPr>
            <w:r>
              <w:rPr>
                <w:rStyle w:val="normaltextrun"/>
                <w:color w:val="425254"/>
              </w:rPr>
              <w:t>Kamila Čadková</w:t>
            </w:r>
            <w:r>
              <w:rPr>
                <w:rStyle w:val="eop"/>
                <w:b/>
                <w:bCs/>
                <w:color w:val="425254"/>
              </w:rPr>
              <w:t> </w:t>
            </w:r>
          </w:p>
        </w:tc>
      </w:tr>
      <w:tr w:rsidR="00375AC5" w14:paraId="538F84F0" w14:textId="77777777" w:rsidTr="00AA5DAE">
        <w:tc>
          <w:tcPr>
            <w:tcW w:w="5035" w:type="dxa"/>
          </w:tcPr>
          <w:p w14:paraId="1D9F5562" w14:textId="77777777" w:rsidR="00375AC5" w:rsidRDefault="00375AC5" w:rsidP="00AA5DAE">
            <w:pPr>
              <w:pStyle w:val="paragraph"/>
              <w:spacing w:beforeAutospacing="0" w:afterAutospacing="0"/>
              <w:textAlignment w:val="baseline"/>
              <w:rPr>
                <w:rFonts w:ascii="Segoe UI" w:hAnsi="Segoe UI" w:cs="Segoe UI"/>
                <w:b/>
                <w:bCs/>
                <w:color w:val="425254"/>
                <w:sz w:val="18"/>
                <w:szCs w:val="18"/>
              </w:rPr>
            </w:pPr>
            <w:proofErr w:type="spellStart"/>
            <w:r>
              <w:rPr>
                <w:rStyle w:val="normaltextrun"/>
                <w:color w:val="425254"/>
              </w:rPr>
              <w:t>Account</w:t>
            </w:r>
            <w:proofErr w:type="spellEnd"/>
            <w:r>
              <w:rPr>
                <w:rStyle w:val="normaltextrun"/>
                <w:color w:val="425254"/>
              </w:rPr>
              <w:t xml:space="preserve"> Manager</w:t>
            </w:r>
          </w:p>
        </w:tc>
        <w:tc>
          <w:tcPr>
            <w:tcW w:w="5035" w:type="dxa"/>
          </w:tcPr>
          <w:p w14:paraId="049B4415" w14:textId="77777777" w:rsidR="00375AC5" w:rsidRDefault="00375AC5" w:rsidP="00AA5DAE">
            <w:pPr>
              <w:pStyle w:val="paragraph"/>
              <w:spacing w:beforeAutospacing="0" w:afterAutospacing="0"/>
              <w:textAlignment w:val="baseline"/>
              <w:rPr>
                <w:rFonts w:ascii="Segoe UI" w:hAnsi="Segoe UI" w:cs="Segoe UI"/>
                <w:b/>
                <w:bCs/>
                <w:color w:val="425254"/>
                <w:sz w:val="18"/>
                <w:szCs w:val="18"/>
              </w:rPr>
            </w:pPr>
            <w:proofErr w:type="spellStart"/>
            <w:r>
              <w:rPr>
                <w:rStyle w:val="normaltextrun"/>
                <w:color w:val="425254"/>
              </w:rPr>
              <w:t>Account</w:t>
            </w:r>
            <w:proofErr w:type="spellEnd"/>
            <w:r>
              <w:rPr>
                <w:rStyle w:val="normaltextrun"/>
                <w:color w:val="425254"/>
              </w:rPr>
              <w:t xml:space="preserve"> </w:t>
            </w:r>
            <w:proofErr w:type="spellStart"/>
            <w:r>
              <w:rPr>
                <w:rStyle w:val="normaltextrun"/>
                <w:color w:val="425254"/>
              </w:rPr>
              <w:t>Director</w:t>
            </w:r>
            <w:proofErr w:type="spellEnd"/>
            <w:r>
              <w:rPr>
                <w:rStyle w:val="eop"/>
                <w:b/>
                <w:bCs/>
                <w:color w:val="425254"/>
              </w:rPr>
              <w:t> </w:t>
            </w:r>
          </w:p>
        </w:tc>
      </w:tr>
      <w:tr w:rsidR="00375AC5" w14:paraId="47FAEF07" w14:textId="77777777" w:rsidTr="00AA5DAE">
        <w:tc>
          <w:tcPr>
            <w:tcW w:w="5035" w:type="dxa"/>
          </w:tcPr>
          <w:p w14:paraId="43EBC494" w14:textId="77777777" w:rsidR="00375AC5" w:rsidRDefault="00375AC5" w:rsidP="00AA5DAE">
            <w:pPr>
              <w:pStyle w:val="paragraph"/>
              <w:spacing w:beforeAutospacing="0" w:afterAutospacing="0"/>
              <w:textAlignment w:val="baseline"/>
              <w:rPr>
                <w:rFonts w:ascii="Segoe UI" w:hAnsi="Segoe UI" w:cs="Segoe UI"/>
                <w:b/>
                <w:bCs/>
                <w:color w:val="425254"/>
                <w:sz w:val="18"/>
                <w:szCs w:val="18"/>
              </w:rPr>
            </w:pPr>
            <w:r>
              <w:rPr>
                <w:rStyle w:val="normaltextrun"/>
                <w:color w:val="425254"/>
                <w:lang w:val="de-DE"/>
              </w:rPr>
              <w:t>T: +420 731 613 606</w:t>
            </w:r>
          </w:p>
        </w:tc>
        <w:tc>
          <w:tcPr>
            <w:tcW w:w="5035" w:type="dxa"/>
          </w:tcPr>
          <w:p w14:paraId="46E12FFE" w14:textId="77777777" w:rsidR="00375AC5" w:rsidRDefault="00375AC5" w:rsidP="00AA5DAE">
            <w:pPr>
              <w:pStyle w:val="paragraph"/>
              <w:spacing w:beforeAutospacing="0" w:afterAutospacing="0"/>
              <w:textAlignment w:val="baseline"/>
              <w:rPr>
                <w:rFonts w:ascii="Segoe UI" w:hAnsi="Segoe UI" w:cs="Segoe UI"/>
                <w:b/>
                <w:bCs/>
                <w:color w:val="425254"/>
                <w:sz w:val="18"/>
                <w:szCs w:val="18"/>
              </w:rPr>
            </w:pPr>
            <w:r>
              <w:rPr>
                <w:rStyle w:val="normaltextrun"/>
                <w:color w:val="425254"/>
                <w:lang w:val="de-DE"/>
              </w:rPr>
              <w:t>T: +420 731 613 609</w:t>
            </w:r>
            <w:r>
              <w:rPr>
                <w:rStyle w:val="eop"/>
                <w:b/>
                <w:bCs/>
                <w:color w:val="425254"/>
              </w:rPr>
              <w:t> </w:t>
            </w:r>
          </w:p>
        </w:tc>
      </w:tr>
      <w:tr w:rsidR="00375AC5" w14:paraId="62AEEF0C" w14:textId="77777777" w:rsidTr="00AA5DAE">
        <w:tc>
          <w:tcPr>
            <w:tcW w:w="5035" w:type="dxa"/>
          </w:tcPr>
          <w:p w14:paraId="00B0AB86" w14:textId="77777777" w:rsidR="00375AC5" w:rsidRDefault="00375AC5" w:rsidP="00AA5DAE">
            <w:pPr>
              <w:pStyle w:val="paragraph"/>
              <w:spacing w:beforeAutospacing="0" w:afterAutospacing="0"/>
              <w:textAlignment w:val="baseline"/>
              <w:rPr>
                <w:rFonts w:ascii="Segoe UI" w:hAnsi="Segoe UI" w:cs="Segoe UI"/>
                <w:b/>
                <w:bCs/>
                <w:color w:val="425254"/>
                <w:sz w:val="18"/>
                <w:szCs w:val="18"/>
              </w:rPr>
            </w:pPr>
            <w:proofErr w:type="spellStart"/>
            <w:r>
              <w:rPr>
                <w:rStyle w:val="normaltextrun"/>
                <w:color w:val="425254"/>
                <w:lang w:val="de-DE"/>
              </w:rPr>
              <w:t>e-mail</w:t>
            </w:r>
            <w:proofErr w:type="spellEnd"/>
            <w:r>
              <w:rPr>
                <w:rStyle w:val="normaltextrun"/>
                <w:color w:val="425254"/>
                <w:lang w:val="de-DE"/>
              </w:rPr>
              <w:t xml:space="preserve">: </w:t>
            </w:r>
            <w:r>
              <w:rPr>
                <w:rStyle w:val="normaltextrun"/>
                <w:color w:val="80BBAD"/>
                <w:u w:val="single"/>
                <w:lang w:val="de-DE"/>
              </w:rPr>
              <w:t>denisa.kolarikova@cbre.com</w:t>
            </w:r>
            <w:r>
              <w:rPr>
                <w:rStyle w:val="tabchar"/>
                <w:rFonts w:ascii="Calibri" w:eastAsiaTheme="majorEastAsia" w:hAnsi="Calibri" w:cs="Calibri"/>
                <w:color w:val="80BBAD"/>
              </w:rPr>
              <w:tab/>
            </w:r>
          </w:p>
        </w:tc>
        <w:tc>
          <w:tcPr>
            <w:tcW w:w="5035" w:type="dxa"/>
          </w:tcPr>
          <w:p w14:paraId="14B0EE34" w14:textId="77777777" w:rsidR="00375AC5" w:rsidRDefault="00375AC5" w:rsidP="00AA5DAE">
            <w:pPr>
              <w:pStyle w:val="paragraph"/>
              <w:spacing w:beforeAutospacing="0" w:afterAutospacing="0"/>
              <w:textAlignment w:val="baseline"/>
              <w:rPr>
                <w:rFonts w:ascii="Segoe UI" w:hAnsi="Segoe UI" w:cs="Segoe UI"/>
                <w:b/>
                <w:bCs/>
                <w:color w:val="425254"/>
                <w:sz w:val="18"/>
                <w:szCs w:val="18"/>
              </w:rPr>
            </w:pPr>
            <w:r>
              <w:rPr>
                <w:rStyle w:val="normaltextrun"/>
                <w:color w:val="425254"/>
                <w:lang w:val="de-DE"/>
              </w:rPr>
              <w:t xml:space="preserve">e- mail: </w:t>
            </w:r>
            <w:hyperlink r:id="rId11" w:tgtFrame="_blank" w:history="1">
              <w:r>
                <w:rPr>
                  <w:rStyle w:val="normaltextrun"/>
                  <w:color w:val="80BBAD"/>
                  <w:u w:val="single"/>
                  <w:lang w:val="de-DE"/>
                </w:rPr>
                <w:t>kamila.cadkova@crestcom.cz</w:t>
              </w:r>
            </w:hyperlink>
          </w:p>
        </w:tc>
      </w:tr>
      <w:tr w:rsidR="00375AC5" w14:paraId="3B0AF20E" w14:textId="77777777" w:rsidTr="00AA5DAE">
        <w:tc>
          <w:tcPr>
            <w:tcW w:w="5035" w:type="dxa"/>
          </w:tcPr>
          <w:p w14:paraId="6C158080" w14:textId="77777777" w:rsidR="00375AC5" w:rsidRDefault="00375AC5" w:rsidP="00AA5DAE">
            <w:pPr>
              <w:pStyle w:val="paragraph"/>
              <w:spacing w:beforeAutospacing="0" w:afterAutospacing="0"/>
              <w:textAlignment w:val="baseline"/>
              <w:rPr>
                <w:rStyle w:val="eop"/>
                <w:b/>
                <w:bCs/>
                <w:color w:val="425254"/>
              </w:rPr>
            </w:pPr>
            <w:hyperlink r:id="rId12" w:tgtFrame="_blank" w:history="1">
              <w:r>
                <w:rPr>
                  <w:rStyle w:val="normaltextrun"/>
                  <w:color w:val="80BBAD"/>
                  <w:u w:val="single"/>
                </w:rPr>
                <w:t>www.crestcom.cz</w:t>
              </w:r>
            </w:hyperlink>
            <w:r>
              <w:rPr>
                <w:rStyle w:val="eop"/>
                <w:b/>
                <w:bCs/>
                <w:color w:val="425254"/>
              </w:rPr>
              <w:t> </w:t>
            </w:r>
          </w:p>
          <w:p w14:paraId="0FEFAEA1" w14:textId="77777777" w:rsidR="00375AC5" w:rsidRDefault="00375AC5" w:rsidP="00AA5DAE">
            <w:pPr>
              <w:pStyle w:val="paragraph"/>
              <w:spacing w:beforeAutospacing="0" w:afterAutospacing="0"/>
              <w:textAlignment w:val="baseline"/>
              <w:rPr>
                <w:rFonts w:ascii="Segoe UI" w:hAnsi="Segoe UI" w:cs="Segoe UI"/>
                <w:b/>
                <w:bCs/>
                <w:color w:val="425254"/>
                <w:sz w:val="18"/>
                <w:szCs w:val="18"/>
              </w:rPr>
            </w:pPr>
          </w:p>
        </w:tc>
        <w:tc>
          <w:tcPr>
            <w:tcW w:w="5035" w:type="dxa"/>
          </w:tcPr>
          <w:p w14:paraId="790B2157" w14:textId="77777777" w:rsidR="00375AC5" w:rsidRDefault="00375AC5" w:rsidP="00AA5DAE">
            <w:pPr>
              <w:pStyle w:val="paragraph"/>
              <w:spacing w:beforeAutospacing="0" w:afterAutospacing="0"/>
              <w:textAlignment w:val="baseline"/>
              <w:rPr>
                <w:rFonts w:ascii="Segoe UI" w:hAnsi="Segoe UI" w:cs="Segoe UI"/>
                <w:b/>
                <w:bCs/>
                <w:color w:val="425254"/>
                <w:sz w:val="18"/>
                <w:szCs w:val="18"/>
              </w:rPr>
            </w:pPr>
          </w:p>
        </w:tc>
      </w:tr>
    </w:tbl>
    <w:p w14:paraId="2DF4C8D8" w14:textId="77777777" w:rsidR="00375AC5" w:rsidRDefault="00375AC5" w:rsidP="00375AC5">
      <w:pPr>
        <w:pStyle w:val="paragraph"/>
        <w:spacing w:beforeAutospacing="0" w:afterAutospacing="0"/>
        <w:textAlignment w:val="baseline"/>
        <w:rPr>
          <w:rFonts w:ascii="Segoe UI" w:hAnsi="Segoe UI" w:cs="Segoe UI"/>
          <w:b/>
          <w:bCs/>
          <w:color w:val="425254"/>
          <w:sz w:val="18"/>
          <w:szCs w:val="18"/>
        </w:rPr>
      </w:pPr>
    </w:p>
    <w:p w14:paraId="39FED434" w14:textId="784BE39D" w:rsidR="00DB7F4A" w:rsidRDefault="00DB7F4A" w:rsidP="00375AC5">
      <w:pPr>
        <w:pStyle w:val="Contact"/>
        <w:jc w:val="both"/>
      </w:pPr>
    </w:p>
    <w:p w14:paraId="0A8978B9" w14:textId="77777777" w:rsidR="004E4691" w:rsidRPr="004E4691" w:rsidRDefault="004E4691" w:rsidP="004E4691">
      <w:pPr>
        <w:spacing w:line="240" w:lineRule="auto"/>
        <w:textAlignment w:val="baseline"/>
        <w:rPr>
          <w:rFonts w:ascii="Segoe UI" w:hAnsi="Segoe UI" w:cs="Segoe UI"/>
          <w:sz w:val="18"/>
          <w:szCs w:val="18"/>
          <w:lang w:val="en-GB" w:eastAsia="en-GB"/>
        </w:rPr>
      </w:pPr>
      <w:r w:rsidRPr="004E4691">
        <w:rPr>
          <w:b/>
          <w:bCs/>
          <w:color w:val="425254"/>
          <w:lang w:val="fr-FR" w:eastAsia="en-GB"/>
        </w:rPr>
        <w:t>CBRE</w:t>
      </w:r>
      <w:r w:rsidRPr="004E4691">
        <w:rPr>
          <w:b/>
          <w:bCs/>
          <w:color w:val="425254"/>
          <w:lang w:eastAsia="en-GB"/>
        </w:rPr>
        <w:t> </w:t>
      </w:r>
      <w:r w:rsidRPr="004E4691">
        <w:rPr>
          <w:color w:val="425254"/>
          <w:lang w:val="en-GB" w:eastAsia="en-GB"/>
        </w:rPr>
        <w:t> </w:t>
      </w:r>
    </w:p>
    <w:p w14:paraId="56E916AA" w14:textId="77777777" w:rsidR="004E4691" w:rsidRPr="004E4691" w:rsidRDefault="004E4691" w:rsidP="004E4691">
      <w:pPr>
        <w:spacing w:line="240" w:lineRule="auto"/>
        <w:textAlignment w:val="baseline"/>
        <w:rPr>
          <w:rFonts w:ascii="Segoe UI" w:hAnsi="Segoe UI" w:cs="Segoe UI"/>
          <w:sz w:val="18"/>
          <w:szCs w:val="18"/>
          <w:lang w:val="en-GB" w:eastAsia="en-GB"/>
        </w:rPr>
      </w:pPr>
      <w:r w:rsidRPr="004E4691">
        <w:rPr>
          <w:color w:val="425254"/>
          <w:lang w:val="fr-FR" w:eastAsia="en-GB"/>
        </w:rPr>
        <w:t xml:space="preserve">Ivana Procházková, Communication Specialist, +420 771 288 023, </w:t>
      </w:r>
      <w:hyperlink r:id="rId13" w:tgtFrame="_blank" w:history="1">
        <w:r w:rsidRPr="004E4691">
          <w:rPr>
            <w:color w:val="80BBAD"/>
            <w:u w:val="single"/>
            <w:lang w:val="fr-FR" w:eastAsia="en-GB"/>
          </w:rPr>
          <w:t>ivana.prochazkova@cbre.com</w:t>
        </w:r>
      </w:hyperlink>
      <w:r w:rsidRPr="004E4691">
        <w:rPr>
          <w:color w:val="425254"/>
          <w:lang w:val="fr-FR" w:eastAsia="en-GB"/>
        </w:rPr>
        <w:t>  </w:t>
      </w:r>
      <w:r w:rsidRPr="004E4691">
        <w:rPr>
          <w:color w:val="425254"/>
          <w:lang w:val="en-GB" w:eastAsia="en-GB"/>
        </w:rPr>
        <w:t> </w:t>
      </w:r>
    </w:p>
    <w:p w14:paraId="47176035" w14:textId="77777777" w:rsidR="004E4691" w:rsidRPr="004E4691" w:rsidRDefault="004E4691" w:rsidP="004E4691">
      <w:pPr>
        <w:spacing w:line="240" w:lineRule="auto"/>
        <w:textAlignment w:val="baseline"/>
        <w:rPr>
          <w:rFonts w:ascii="Segoe UI" w:hAnsi="Segoe UI" w:cs="Segoe UI"/>
          <w:sz w:val="18"/>
          <w:szCs w:val="18"/>
          <w:lang w:val="en-GB" w:eastAsia="en-GB"/>
        </w:rPr>
      </w:pPr>
      <w:r w:rsidRPr="004E4691">
        <w:rPr>
          <w:color w:val="425254"/>
          <w:lang w:eastAsia="en-GB"/>
        </w:rPr>
        <w:t>CBRE Česká republika</w:t>
      </w:r>
      <w:r w:rsidRPr="004E4691">
        <w:rPr>
          <w:color w:val="1F497D"/>
          <w:lang w:eastAsia="en-GB"/>
        </w:rPr>
        <w:t> </w:t>
      </w:r>
      <w:hyperlink r:id="rId14" w:tgtFrame="_blank" w:history="1">
        <w:r w:rsidRPr="004E4691">
          <w:rPr>
            <w:color w:val="7FBBAD"/>
            <w:lang w:eastAsia="en-GB"/>
          </w:rPr>
          <w:t>Facebook</w:t>
        </w:r>
      </w:hyperlink>
      <w:r w:rsidRPr="004E4691">
        <w:rPr>
          <w:color w:val="7FBBAD"/>
          <w:lang w:eastAsia="en-GB"/>
        </w:rPr>
        <w:t xml:space="preserve">, </w:t>
      </w:r>
      <w:hyperlink r:id="rId15" w:tgtFrame="_blank" w:history="1">
        <w:r w:rsidRPr="004E4691">
          <w:rPr>
            <w:color w:val="80BBAD"/>
            <w:u w:val="single"/>
            <w:lang w:eastAsia="en-GB"/>
          </w:rPr>
          <w:t>LinkedIn</w:t>
        </w:r>
      </w:hyperlink>
      <w:r w:rsidRPr="004E4691">
        <w:rPr>
          <w:color w:val="7FBBAD"/>
          <w:u w:val="single"/>
          <w:lang w:eastAsia="en-GB"/>
        </w:rPr>
        <w:t>,</w:t>
      </w:r>
      <w:r w:rsidRPr="004E4691">
        <w:rPr>
          <w:color w:val="7FBBAD"/>
          <w:lang w:eastAsia="en-GB"/>
        </w:rPr>
        <w:t xml:space="preserve"> </w:t>
      </w:r>
      <w:hyperlink r:id="rId16" w:tgtFrame="_blank" w:history="1">
        <w:r w:rsidRPr="004E4691">
          <w:rPr>
            <w:color w:val="7FBBAD"/>
            <w:lang w:eastAsia="en-GB"/>
          </w:rPr>
          <w:t>Instagram</w:t>
        </w:r>
      </w:hyperlink>
      <w:r w:rsidRPr="004E4691">
        <w:rPr>
          <w:b/>
          <w:bCs/>
          <w:color w:val="425254"/>
          <w:lang w:eastAsia="en-GB"/>
        </w:rPr>
        <w:t> </w:t>
      </w:r>
      <w:r w:rsidRPr="004E4691">
        <w:rPr>
          <w:color w:val="425254"/>
          <w:lang w:val="en-GB" w:eastAsia="en-GB"/>
        </w:rPr>
        <w:t> </w:t>
      </w:r>
    </w:p>
    <w:p w14:paraId="66D2B309" w14:textId="77777777" w:rsidR="004E4691" w:rsidRPr="004E4691" w:rsidRDefault="004E4691" w:rsidP="004E4691">
      <w:pPr>
        <w:spacing w:line="240" w:lineRule="auto"/>
        <w:textAlignment w:val="baseline"/>
        <w:rPr>
          <w:rFonts w:ascii="Segoe UI" w:hAnsi="Segoe UI" w:cs="Segoe UI"/>
          <w:sz w:val="18"/>
          <w:szCs w:val="18"/>
          <w:lang w:val="en-GB" w:eastAsia="en-GB"/>
        </w:rPr>
      </w:pPr>
      <w:r w:rsidRPr="004E4691">
        <w:rPr>
          <w:rFonts w:ascii="Segoe UI" w:hAnsi="Segoe UI" w:cs="Segoe UI"/>
          <w:color w:val="425254"/>
          <w:sz w:val="18"/>
          <w:szCs w:val="18"/>
          <w:lang w:val="en-GB" w:eastAsia="en-GB"/>
        </w:rPr>
        <w:t> </w:t>
      </w:r>
    </w:p>
    <w:p w14:paraId="3C2B3BAF" w14:textId="77777777" w:rsidR="004E4691" w:rsidRPr="004E4691" w:rsidRDefault="004E4691" w:rsidP="004E4691">
      <w:pPr>
        <w:spacing w:line="240" w:lineRule="auto"/>
        <w:textAlignment w:val="baseline"/>
        <w:rPr>
          <w:rFonts w:ascii="Segoe UI" w:hAnsi="Segoe UI" w:cs="Segoe UI"/>
          <w:sz w:val="18"/>
          <w:szCs w:val="18"/>
          <w:lang w:val="en-GB" w:eastAsia="en-GB"/>
        </w:rPr>
      </w:pPr>
      <w:r w:rsidRPr="004E4691">
        <w:rPr>
          <w:rFonts w:ascii="Calibre" w:hAnsi="Calibre" w:cs="Segoe UI"/>
          <w:color w:val="7F8481"/>
          <w:sz w:val="21"/>
          <w:szCs w:val="21"/>
          <w:u w:val="single"/>
          <w:lang w:eastAsia="en-GB"/>
        </w:rPr>
        <w:t>O CBRE:</w:t>
      </w:r>
      <w:r w:rsidRPr="004E4691">
        <w:rPr>
          <w:rFonts w:ascii="Calibre" w:hAnsi="Calibre" w:cs="Segoe UI"/>
          <w:color w:val="7F8481"/>
          <w:sz w:val="21"/>
          <w:szCs w:val="21"/>
          <w:lang w:eastAsia="en-GB"/>
        </w:rPr>
        <w:t>  </w:t>
      </w:r>
      <w:r w:rsidRPr="004E4691">
        <w:rPr>
          <w:rFonts w:ascii="Calibre" w:hAnsi="Calibre" w:cs="Segoe UI"/>
          <w:color w:val="7F8481"/>
          <w:sz w:val="21"/>
          <w:szCs w:val="21"/>
          <w:lang w:val="en-GB" w:eastAsia="en-GB"/>
        </w:rPr>
        <w:t> </w:t>
      </w:r>
    </w:p>
    <w:p w14:paraId="619D7320" w14:textId="77777777" w:rsidR="004E4691" w:rsidRPr="004E4691" w:rsidRDefault="004E4691" w:rsidP="004E4691">
      <w:pPr>
        <w:spacing w:line="240" w:lineRule="auto"/>
        <w:jc w:val="both"/>
        <w:textAlignment w:val="baseline"/>
        <w:rPr>
          <w:rFonts w:ascii="Segoe UI" w:hAnsi="Segoe UI" w:cs="Segoe UI"/>
          <w:sz w:val="18"/>
          <w:szCs w:val="18"/>
          <w:lang w:val="en-GB" w:eastAsia="en-GB"/>
        </w:rPr>
      </w:pPr>
      <w:r w:rsidRPr="004E4691">
        <w:rPr>
          <w:rFonts w:ascii="Calibre" w:hAnsi="Calibre" w:cs="Segoe UI"/>
          <w:color w:val="7F8481"/>
          <w:sz w:val="21"/>
          <w:szCs w:val="21"/>
          <w:lang w:eastAsia="en-GB"/>
        </w:rPr>
        <w:t>CBRE Group, Inc. (</w:t>
      </w:r>
      <w:proofErr w:type="gramStart"/>
      <w:r w:rsidRPr="004E4691">
        <w:rPr>
          <w:rFonts w:ascii="Calibre" w:hAnsi="Calibre" w:cs="Segoe UI"/>
          <w:color w:val="7F8481"/>
          <w:sz w:val="21"/>
          <w:szCs w:val="21"/>
          <w:lang w:eastAsia="en-GB"/>
        </w:rPr>
        <w:t>NYSE:CBRE</w:t>
      </w:r>
      <w:proofErr w:type="gramEnd"/>
      <w:r w:rsidRPr="004E4691">
        <w:rPr>
          <w:rFonts w:ascii="Calibre" w:hAnsi="Calibre" w:cs="Segoe UI"/>
          <w:color w:val="7F8481"/>
          <w:sz w:val="21"/>
          <w:szCs w:val="21"/>
          <w:lang w:eastAsia="en-GB"/>
        </w:rPr>
        <w:t>), společnost figurující na žebříčku Fortune 500 a indexu S&amp;P 500 se sídlem v Dallasu, je světovým lídrem v oblasti komerčních realitních služeb a investic (z hlediska výnosů za rok 2022). S přibližně 115 000 zaměstnanci (vyjma zaměstnanců společnosti Turner &amp; Townsend) je k dispozici klientům ve více než 100 zemích světa. Společnost CBRE poskytuje širokou škálu integrovaných služeb od správy a údržby nemovitostí, obchodních transakcí, projektového managementu, investičního poradenství přes oceňování nemovitostí, pronájem a prodej nemovitostí, strategické poradenství až po hypoteční a developerské služby. S téměř 300 zaměstnanci CBRE v České republice spravuje kolem 75 objektů komerčních budov o celkové rozloze cca 1,2 mil. m</w:t>
      </w:r>
      <w:r w:rsidRPr="004E4691">
        <w:rPr>
          <w:rFonts w:ascii="Calibre" w:hAnsi="Calibre" w:cs="Segoe UI"/>
          <w:color w:val="7F8481"/>
          <w:sz w:val="12"/>
          <w:szCs w:val="12"/>
          <w:vertAlign w:val="superscript"/>
          <w:lang w:eastAsia="en-GB"/>
        </w:rPr>
        <w:t>2</w:t>
      </w:r>
      <w:r w:rsidRPr="004E4691">
        <w:rPr>
          <w:rFonts w:ascii="Calibre" w:hAnsi="Calibre" w:cs="Segoe UI"/>
          <w:color w:val="7F8481"/>
          <w:sz w:val="21"/>
          <w:szCs w:val="21"/>
          <w:lang w:eastAsia="en-GB"/>
        </w:rPr>
        <w:t xml:space="preserve">. Pro více informací navštivte internetové stránky společnosti na </w:t>
      </w:r>
      <w:hyperlink r:id="rId17" w:tgtFrame="_blank" w:history="1">
        <w:r w:rsidRPr="004E4691">
          <w:rPr>
            <w:rFonts w:ascii="Calibre" w:hAnsi="Calibre" w:cs="Segoe UI"/>
            <w:color w:val="80BBAD"/>
            <w:sz w:val="21"/>
            <w:szCs w:val="21"/>
            <w:u w:val="single"/>
            <w:lang w:eastAsia="en-GB"/>
          </w:rPr>
          <w:t>www.cbre.cz</w:t>
        </w:r>
      </w:hyperlink>
      <w:r w:rsidRPr="004E4691">
        <w:rPr>
          <w:rFonts w:ascii="Calibre" w:hAnsi="Calibre" w:cs="Segoe UI"/>
          <w:color w:val="7F8481"/>
          <w:sz w:val="21"/>
          <w:szCs w:val="21"/>
          <w:lang w:eastAsia="en-GB"/>
        </w:rPr>
        <w:t>. </w:t>
      </w:r>
      <w:r w:rsidRPr="004E4691">
        <w:rPr>
          <w:rFonts w:ascii="Calibre" w:hAnsi="Calibre" w:cs="Segoe UI"/>
          <w:color w:val="7F8481"/>
          <w:sz w:val="21"/>
          <w:szCs w:val="21"/>
          <w:lang w:val="en-GB" w:eastAsia="en-GB"/>
        </w:rPr>
        <w:t> </w:t>
      </w:r>
    </w:p>
    <w:p w14:paraId="6AF1C5A0" w14:textId="77777777" w:rsidR="004E4691" w:rsidRDefault="004E4691" w:rsidP="00784D2C">
      <w:pPr>
        <w:pStyle w:val="Contact"/>
        <w:jc w:val="both"/>
      </w:pPr>
    </w:p>
    <w:sectPr w:rsidR="004E4691" w:rsidSect="00EA5FEC">
      <w:headerReference w:type="default" r:id="rId18"/>
      <w:headerReference w:type="first" r:id="rId19"/>
      <w:pgSz w:w="12240" w:h="15840"/>
      <w:pgMar w:top="1985" w:right="1077" w:bottom="720" w:left="1077" w:header="1531"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47496" w14:textId="77777777" w:rsidR="007845BA" w:rsidRDefault="007845BA" w:rsidP="00C63036">
      <w:r>
        <w:separator/>
      </w:r>
    </w:p>
  </w:endnote>
  <w:endnote w:type="continuationSeparator" w:id="0">
    <w:p w14:paraId="7BD2A50D" w14:textId="77777777" w:rsidR="007845BA" w:rsidRDefault="007845BA" w:rsidP="00C63036">
      <w:r>
        <w:continuationSeparator/>
      </w:r>
    </w:p>
  </w:endnote>
  <w:endnote w:type="continuationNotice" w:id="1">
    <w:p w14:paraId="7FB601B8" w14:textId="77777777" w:rsidR="007845BA" w:rsidRDefault="00784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Futura Bk BT">
    <w:altName w:val="Segoe UI"/>
    <w:charset w:val="00"/>
    <w:family w:val="swiss"/>
    <w:pitch w:val="variable"/>
    <w:sig w:usb0="800000AF" w:usb1="1000204A" w:usb2="00000000" w:usb3="00000000" w:csb0="00000011"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e">
    <w:altName w:val="Calibri"/>
    <w:panose1 w:val="00000000000000000000"/>
    <w:charset w:val="00"/>
    <w:family w:val="swiss"/>
    <w:notTrueType/>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1BC46" w14:textId="77777777" w:rsidR="007845BA" w:rsidRDefault="007845BA" w:rsidP="00C63036">
      <w:r>
        <w:separator/>
      </w:r>
    </w:p>
  </w:footnote>
  <w:footnote w:type="continuationSeparator" w:id="0">
    <w:p w14:paraId="199DF3DC" w14:textId="77777777" w:rsidR="007845BA" w:rsidRDefault="007845BA" w:rsidP="00C63036">
      <w:r>
        <w:continuationSeparator/>
      </w:r>
    </w:p>
  </w:footnote>
  <w:footnote w:type="continuationNotice" w:id="1">
    <w:p w14:paraId="4A1B123C" w14:textId="77777777" w:rsidR="007845BA" w:rsidRDefault="007845BA"/>
  </w:footnote>
  <w:footnote w:id="2">
    <w:p w14:paraId="4E60A79D" w14:textId="4D578E68" w:rsidR="000B42DF" w:rsidRDefault="000B42DF">
      <w:pPr>
        <w:pStyle w:val="Textpoznpodarou"/>
      </w:pPr>
      <w:r>
        <w:rPr>
          <w:rStyle w:val="Znakapoznpodarou"/>
        </w:rPr>
        <w:footnoteRef/>
      </w:r>
      <w:r>
        <w:t xml:space="preserve"> V roce 2022</w:t>
      </w:r>
      <w:r w:rsidR="00C50DA0">
        <w:t xml:space="preserve"> činil </w:t>
      </w:r>
      <w:r w:rsidR="00B87570">
        <w:t xml:space="preserve">meziroční </w:t>
      </w:r>
      <w:r w:rsidR="00C50DA0">
        <w:t xml:space="preserve">pokles reálných mezd </w:t>
      </w:r>
      <w:r>
        <w:t>8,5 %</w:t>
      </w:r>
      <w:r w:rsidR="00C50DA0">
        <w:t xml:space="preserve">, v roce </w:t>
      </w:r>
      <w:r>
        <w:t>2023</w:t>
      </w:r>
      <w:r w:rsidR="00C50DA0">
        <w:t xml:space="preserve"> dosáhl </w:t>
      </w:r>
      <w:r w:rsidR="00B87570">
        <w:t>-</w:t>
      </w:r>
      <w:r>
        <w:t>2,9 %.</w:t>
      </w:r>
      <w:r w:rsidR="00C50DA0">
        <w:t xml:space="preserve"> Zdroj: </w:t>
      </w:r>
      <w:r w:rsidR="00B87570">
        <w:t>ČSÚ</w:t>
      </w:r>
    </w:p>
  </w:footnote>
  <w:footnote w:id="3">
    <w:p w14:paraId="10CE4074" w14:textId="488BEACF" w:rsidR="001F3DCC" w:rsidRDefault="001F3DCC">
      <w:pPr>
        <w:pStyle w:val="Textpoznpodarou"/>
      </w:pPr>
      <w:r>
        <w:rPr>
          <w:rStyle w:val="Znakapoznpodarou"/>
        </w:rPr>
        <w:footnoteRef/>
      </w:r>
      <w:r>
        <w:t xml:space="preserve"> </w:t>
      </w:r>
      <w:proofErr w:type="gramStart"/>
      <w:r>
        <w:t>Z -12</w:t>
      </w:r>
      <w:proofErr w:type="gramEnd"/>
      <w:r>
        <w:t xml:space="preserve"> % v roce 2022 na -8 % v roce 2023 při srovnání s předpandemickým rokem 2019. Zdroj: CBRE</w:t>
      </w:r>
    </w:p>
  </w:footnote>
  <w:footnote w:id="4">
    <w:p w14:paraId="3481264D" w14:textId="32FF0FBD" w:rsidR="00D00DDB" w:rsidRDefault="00D00DDB">
      <w:pPr>
        <w:pStyle w:val="Textpoznpodarou"/>
      </w:pPr>
      <w:r>
        <w:rPr>
          <w:rStyle w:val="Znakapoznpodarou"/>
        </w:rPr>
        <w:footnoteRef/>
      </w:r>
      <w:r>
        <w:t xml:space="preserve"> P</w:t>
      </w:r>
      <w:r w:rsidRPr="00D00DDB">
        <w:t xml:space="preserve">růměrný růst </w:t>
      </w:r>
      <w:r w:rsidR="00400652">
        <w:t xml:space="preserve">maloobchodních </w:t>
      </w:r>
      <w:r w:rsidRPr="00D00DDB">
        <w:t xml:space="preserve">obratů </w:t>
      </w:r>
      <w:r>
        <w:t xml:space="preserve">v Evropě </w:t>
      </w:r>
      <w:r w:rsidR="00F95532">
        <w:t>činil</w:t>
      </w:r>
      <w:r>
        <w:t xml:space="preserve"> </w:t>
      </w:r>
      <w:r w:rsidRPr="00D00DDB">
        <w:t>v loňském roce 7 %.</w:t>
      </w:r>
      <w:r w:rsidR="00F95532">
        <w:t xml:space="preserve"> Zdroj: </w:t>
      </w:r>
      <w:r w:rsidR="00B87570">
        <w:t>CBRE European Retail 2023</w:t>
      </w:r>
    </w:p>
  </w:footnote>
  <w:footnote w:id="5">
    <w:p w14:paraId="70B3BA64" w14:textId="2BB02BB8" w:rsidR="0023407C" w:rsidRDefault="0023407C">
      <w:pPr>
        <w:pStyle w:val="Textpoznpodarou"/>
      </w:pPr>
      <w:r>
        <w:rPr>
          <w:rStyle w:val="Znakapoznpodarou"/>
        </w:rPr>
        <w:footnoteRef/>
      </w:r>
      <w:r>
        <w:t xml:space="preserve"> Do specializovaného maloobchodu se řadí </w:t>
      </w:r>
      <w:r w:rsidRPr="008F5860">
        <w:t xml:space="preserve">například drogerie, lékárny, optiky, knihkupectví </w:t>
      </w:r>
      <w:r>
        <w:t>či</w:t>
      </w:r>
      <w:r w:rsidRPr="008F5860">
        <w:t xml:space="preserve"> hračkářství</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69633" w14:textId="6D891194" w:rsidR="00115F2F" w:rsidRPr="006F397C" w:rsidRDefault="7110F824" w:rsidP="00CA5B4D">
    <w:pPr>
      <w:pStyle w:val="Zhlav"/>
      <w:spacing w:line="240" w:lineRule="auto"/>
      <w:contextualSpacing/>
      <w:jc w:val="right"/>
    </w:pPr>
    <w:r w:rsidRPr="7110F824">
      <w:rPr>
        <w:rFonts w:ascii="Calibre" w:hAnsi="Calibre"/>
        <w:color w:val="003D30" w:themeColor="accent6"/>
        <w:sz w:val="16"/>
        <w:szCs w:val="16"/>
      </w:rPr>
      <w:t>CBRE 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92A33" w14:textId="77777777" w:rsidR="00115F2F" w:rsidRDefault="00115F2F">
    <w:pPr>
      <w:pStyle w:val="Zhlav"/>
    </w:pPr>
    <w:r w:rsidRPr="00F51DB7">
      <w:rPr>
        <w:noProof/>
        <w:lang w:eastAsia="cs-CZ"/>
      </w:rPr>
      <mc:AlternateContent>
        <mc:Choice Requires="wps">
          <w:drawing>
            <wp:anchor distT="0" distB="0" distL="114300" distR="114300" simplePos="0" relativeHeight="251658241" behindDoc="0" locked="0" layoutInCell="1" allowOverlap="1" wp14:anchorId="4696B59B" wp14:editId="1EC1E183">
              <wp:simplePos x="0" y="0"/>
              <wp:positionH relativeFrom="margin">
                <wp:posOffset>-9525</wp:posOffset>
              </wp:positionH>
              <wp:positionV relativeFrom="paragraph">
                <wp:posOffset>95885</wp:posOffset>
              </wp:positionV>
              <wp:extent cx="64008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w="28575">
                        <a:solidFill>
                          <a:srgbClr val="003F2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4"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003f2d" strokeweight="2.25pt" from="-.75pt,7.55pt" to="503.25pt,7.55pt" w14:anchorId="7E09CA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">
              <v:stroke joinstyle="miter"/>
              <w10:wrap anchorx="margin"/>
            </v:line>
          </w:pict>
        </mc:Fallback>
      </mc:AlternateContent>
    </w:r>
    <w:r w:rsidRPr="00F51DB7">
      <w:rPr>
        <w:noProof/>
        <w:lang w:eastAsia="cs-CZ"/>
      </w:rPr>
      <w:drawing>
        <wp:anchor distT="0" distB="0" distL="114300" distR="114300" simplePos="0" relativeHeight="251658242" behindDoc="1" locked="0" layoutInCell="1" allowOverlap="1" wp14:anchorId="0EF52F24" wp14:editId="6F1E35AB">
          <wp:simplePos x="0" y="0"/>
          <wp:positionH relativeFrom="column">
            <wp:posOffset>5358130</wp:posOffset>
          </wp:positionH>
          <wp:positionV relativeFrom="paragraph">
            <wp:posOffset>-454025</wp:posOffset>
          </wp:positionV>
          <wp:extent cx="1030226" cy="259081"/>
          <wp:effectExtent l="0" t="0" r="0" b="7620"/>
          <wp:wrapTight wrapText="bothSides">
            <wp:wrapPolygon edited="0">
              <wp:start x="400" y="0"/>
              <wp:lineTo x="0" y="4765"/>
              <wp:lineTo x="0" y="17471"/>
              <wp:lineTo x="400" y="20647"/>
              <wp:lineTo x="21174" y="20647"/>
              <wp:lineTo x="21174" y="0"/>
              <wp:lineTo x="400" y="0"/>
            </wp:wrapPolygon>
          </wp:wrapTight>
          <wp:docPr id="2130313819" name="Picture 4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226" cy="259081"/>
                  </a:xfrm>
                  <a:prstGeom prst="rect">
                    <a:avLst/>
                  </a:prstGeom>
                </pic:spPr>
              </pic:pic>
            </a:graphicData>
          </a:graphic>
        </wp:anchor>
      </w:drawing>
    </w:r>
    <w:r w:rsidRPr="00F51DB7">
      <w:rPr>
        <w:noProof/>
        <w:lang w:eastAsia="cs-CZ"/>
      </w:rPr>
      <mc:AlternateContent>
        <mc:Choice Requires="wps">
          <w:drawing>
            <wp:anchor distT="0" distB="0" distL="114300" distR="114300" simplePos="0" relativeHeight="251658240" behindDoc="0" locked="0" layoutInCell="1" allowOverlap="1" wp14:anchorId="74FDC6CC" wp14:editId="46C06CAE">
              <wp:simplePos x="0" y="0"/>
              <wp:positionH relativeFrom="column">
                <wp:posOffset>-9525</wp:posOffset>
              </wp:positionH>
              <wp:positionV relativeFrom="paragraph">
                <wp:posOffset>-685800</wp:posOffset>
              </wp:positionV>
              <wp:extent cx="4443730" cy="535305"/>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443730" cy="535305"/>
                      </a:xfrm>
                      <a:prstGeom prst="rect">
                        <a:avLst/>
                      </a:prstGeom>
                      <a:noFill/>
                      <a:ln w="6350">
                        <a:noFill/>
                      </a:ln>
                    </wps:spPr>
                    <wps:txbx>
                      <w:txbxContent>
                        <w:p w14:paraId="5F1630B1" w14:textId="56BB85C1" w:rsidR="00115F2F" w:rsidRPr="00F413B0" w:rsidRDefault="00115F2F" w:rsidP="00F51DB7">
                          <w:pPr>
                            <w:rPr>
                              <w:b/>
                              <w:bCs/>
                              <w:color w:val="003F2D"/>
                              <w:spacing w:val="-20"/>
                              <w:sz w:val="80"/>
                              <w:szCs w:val="80"/>
                            </w:rPr>
                          </w:pPr>
                          <w:r w:rsidRPr="00485562">
                            <w:rPr>
                              <w:b/>
                              <w:bCs/>
                              <w:color w:val="003F2D"/>
                              <w:spacing w:val="-20"/>
                              <w:sz w:val="80"/>
                              <w:szCs w:val="80"/>
                            </w:rPr>
                            <w:t>Tisková zpráva</w:t>
                          </w:r>
                          <w:r w:rsidRPr="00F413B0">
                            <w:rPr>
                              <w:b/>
                              <w:bCs/>
                              <w:color w:val="003F2D"/>
                              <w:spacing w:val="-20"/>
                              <w:sz w:val="80"/>
                              <w:szCs w:val="80"/>
                            </w:rPr>
                            <w:t xml:space="preserve">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DC6CC" id="_x0000_t202" coordsize="21600,21600" o:spt="202" path="m,l,21600r21600,l21600,xe">
              <v:stroke joinstyle="miter"/>
              <v:path gradientshapeok="t" o:connecttype="rect"/>
            </v:shapetype>
            <v:shape id="Text Box 3" o:spid="_x0000_s1026" type="#_x0000_t202" style="position:absolute;margin-left:-.75pt;margin-top:-54pt;width:349.9pt;height: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" filled="f" stroked="f" strokeweight=".5pt">
              <v:textbox inset="0,0,0,0">
                <w:txbxContent>
                  <w:p w14:paraId="5F1630B1" w14:textId="56BB85C1" w:rsidR="00115F2F" w:rsidRPr="00F413B0" w:rsidRDefault="00115F2F" w:rsidP="00F51DB7">
                    <w:pPr>
                      <w:rPr>
                        <w:b/>
                        <w:bCs/>
                        <w:color w:val="003F2D"/>
                        <w:spacing w:val="-20"/>
                        <w:sz w:val="80"/>
                        <w:szCs w:val="80"/>
                      </w:rPr>
                    </w:pPr>
                    <w:r w:rsidRPr="00485562">
                      <w:rPr>
                        <w:b/>
                        <w:bCs/>
                        <w:color w:val="003F2D"/>
                        <w:spacing w:val="-20"/>
                        <w:sz w:val="80"/>
                        <w:szCs w:val="80"/>
                      </w:rPr>
                      <w:t>Tisková zpráva</w:t>
                    </w:r>
                    <w:r w:rsidRPr="00F413B0">
                      <w:rPr>
                        <w:b/>
                        <w:bCs/>
                        <w:color w:val="003F2D"/>
                        <w:spacing w:val="-20"/>
                        <w:sz w:val="80"/>
                        <w:szCs w:val="80"/>
                      </w:rPr>
                      <w:t xml:space="preserve">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7098"/>
    <w:multiLevelType w:val="hybridMultilevel"/>
    <w:tmpl w:val="82D6F2A4"/>
    <w:lvl w:ilvl="0" w:tplc="48509C48">
      <w:start w:val="1"/>
      <w:numFmt w:val="bullet"/>
      <w:lvlText w:val=""/>
      <w:lvlJc w:val="left"/>
      <w:pPr>
        <w:ind w:left="720" w:hanging="360"/>
      </w:pPr>
      <w:rPr>
        <w:rFonts w:ascii="Wingdings" w:hAnsi="Wingdings" w:hint="default"/>
      </w:rPr>
    </w:lvl>
    <w:lvl w:ilvl="1" w:tplc="094AACC2">
      <w:start w:val="1"/>
      <w:numFmt w:val="bullet"/>
      <w:lvlText w:val="o"/>
      <w:lvlJc w:val="left"/>
      <w:pPr>
        <w:ind w:left="1440" w:hanging="360"/>
      </w:pPr>
      <w:rPr>
        <w:rFonts w:ascii="Courier New" w:hAnsi="Courier New" w:hint="default"/>
      </w:rPr>
    </w:lvl>
    <w:lvl w:ilvl="2" w:tplc="365E28F0">
      <w:start w:val="1"/>
      <w:numFmt w:val="bullet"/>
      <w:lvlText w:val=""/>
      <w:lvlJc w:val="left"/>
      <w:pPr>
        <w:ind w:left="2160" w:hanging="360"/>
      </w:pPr>
      <w:rPr>
        <w:rFonts w:ascii="Wingdings" w:hAnsi="Wingdings" w:hint="default"/>
      </w:rPr>
    </w:lvl>
    <w:lvl w:ilvl="3" w:tplc="D842DA2A">
      <w:start w:val="1"/>
      <w:numFmt w:val="bullet"/>
      <w:lvlText w:val=""/>
      <w:lvlJc w:val="left"/>
      <w:pPr>
        <w:ind w:left="2880" w:hanging="360"/>
      </w:pPr>
      <w:rPr>
        <w:rFonts w:ascii="Symbol" w:hAnsi="Symbol" w:hint="default"/>
      </w:rPr>
    </w:lvl>
    <w:lvl w:ilvl="4" w:tplc="2B20C030">
      <w:start w:val="1"/>
      <w:numFmt w:val="bullet"/>
      <w:lvlText w:val="o"/>
      <w:lvlJc w:val="left"/>
      <w:pPr>
        <w:ind w:left="3600" w:hanging="360"/>
      </w:pPr>
      <w:rPr>
        <w:rFonts w:ascii="Courier New" w:hAnsi="Courier New" w:hint="default"/>
      </w:rPr>
    </w:lvl>
    <w:lvl w:ilvl="5" w:tplc="7F8A6AF8">
      <w:start w:val="1"/>
      <w:numFmt w:val="bullet"/>
      <w:lvlText w:val=""/>
      <w:lvlJc w:val="left"/>
      <w:pPr>
        <w:ind w:left="4320" w:hanging="360"/>
      </w:pPr>
      <w:rPr>
        <w:rFonts w:ascii="Wingdings" w:hAnsi="Wingdings" w:hint="default"/>
      </w:rPr>
    </w:lvl>
    <w:lvl w:ilvl="6" w:tplc="12C2F62E">
      <w:start w:val="1"/>
      <w:numFmt w:val="bullet"/>
      <w:lvlText w:val=""/>
      <w:lvlJc w:val="left"/>
      <w:pPr>
        <w:ind w:left="5040" w:hanging="360"/>
      </w:pPr>
      <w:rPr>
        <w:rFonts w:ascii="Symbol" w:hAnsi="Symbol" w:hint="default"/>
      </w:rPr>
    </w:lvl>
    <w:lvl w:ilvl="7" w:tplc="F7644604">
      <w:start w:val="1"/>
      <w:numFmt w:val="bullet"/>
      <w:lvlText w:val="o"/>
      <w:lvlJc w:val="left"/>
      <w:pPr>
        <w:ind w:left="5760" w:hanging="360"/>
      </w:pPr>
      <w:rPr>
        <w:rFonts w:ascii="Courier New" w:hAnsi="Courier New" w:hint="default"/>
      </w:rPr>
    </w:lvl>
    <w:lvl w:ilvl="8" w:tplc="5DB0C504">
      <w:start w:val="1"/>
      <w:numFmt w:val="bullet"/>
      <w:lvlText w:val=""/>
      <w:lvlJc w:val="left"/>
      <w:pPr>
        <w:ind w:left="6480" w:hanging="360"/>
      </w:pPr>
      <w:rPr>
        <w:rFonts w:ascii="Wingdings" w:hAnsi="Wingdings" w:hint="default"/>
      </w:rPr>
    </w:lvl>
  </w:abstractNum>
  <w:abstractNum w:abstractNumId="1" w15:restartNumberingAfterBreak="0">
    <w:nsid w:val="07AA2BFD"/>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931D54"/>
    <w:multiLevelType w:val="hybridMultilevel"/>
    <w:tmpl w:val="95928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9F5958"/>
    <w:multiLevelType w:val="hybridMultilevel"/>
    <w:tmpl w:val="C16AA5F4"/>
    <w:lvl w:ilvl="0" w:tplc="F93038D2">
      <w:start w:val="1"/>
      <w:numFmt w:val="bullet"/>
      <w:lvlText w:val="-"/>
      <w:lvlJc w:val="left"/>
      <w:pPr>
        <w:ind w:left="720" w:hanging="360"/>
      </w:pPr>
      <w:rPr>
        <w:rFonts w:ascii="Calibri" w:hAnsi="Calibri" w:hint="default"/>
      </w:rPr>
    </w:lvl>
    <w:lvl w:ilvl="1" w:tplc="49723232">
      <w:start w:val="1"/>
      <w:numFmt w:val="bullet"/>
      <w:lvlText w:val="o"/>
      <w:lvlJc w:val="left"/>
      <w:pPr>
        <w:ind w:left="1440" w:hanging="360"/>
      </w:pPr>
      <w:rPr>
        <w:rFonts w:ascii="Courier New" w:hAnsi="Courier New" w:hint="default"/>
      </w:rPr>
    </w:lvl>
    <w:lvl w:ilvl="2" w:tplc="13CA8244">
      <w:start w:val="1"/>
      <w:numFmt w:val="bullet"/>
      <w:lvlText w:val=""/>
      <w:lvlJc w:val="left"/>
      <w:pPr>
        <w:ind w:left="2160" w:hanging="360"/>
      </w:pPr>
      <w:rPr>
        <w:rFonts w:ascii="Wingdings" w:hAnsi="Wingdings" w:hint="default"/>
      </w:rPr>
    </w:lvl>
    <w:lvl w:ilvl="3" w:tplc="08AC2222">
      <w:start w:val="1"/>
      <w:numFmt w:val="bullet"/>
      <w:lvlText w:val=""/>
      <w:lvlJc w:val="left"/>
      <w:pPr>
        <w:ind w:left="2880" w:hanging="360"/>
      </w:pPr>
      <w:rPr>
        <w:rFonts w:ascii="Symbol" w:hAnsi="Symbol" w:hint="default"/>
      </w:rPr>
    </w:lvl>
    <w:lvl w:ilvl="4" w:tplc="FE68A4A6">
      <w:start w:val="1"/>
      <w:numFmt w:val="bullet"/>
      <w:lvlText w:val="o"/>
      <w:lvlJc w:val="left"/>
      <w:pPr>
        <w:ind w:left="3600" w:hanging="360"/>
      </w:pPr>
      <w:rPr>
        <w:rFonts w:ascii="Courier New" w:hAnsi="Courier New" w:hint="default"/>
      </w:rPr>
    </w:lvl>
    <w:lvl w:ilvl="5" w:tplc="DD187B84">
      <w:start w:val="1"/>
      <w:numFmt w:val="bullet"/>
      <w:lvlText w:val=""/>
      <w:lvlJc w:val="left"/>
      <w:pPr>
        <w:ind w:left="4320" w:hanging="360"/>
      </w:pPr>
      <w:rPr>
        <w:rFonts w:ascii="Wingdings" w:hAnsi="Wingdings" w:hint="default"/>
      </w:rPr>
    </w:lvl>
    <w:lvl w:ilvl="6" w:tplc="DC0A0208">
      <w:start w:val="1"/>
      <w:numFmt w:val="bullet"/>
      <w:lvlText w:val=""/>
      <w:lvlJc w:val="left"/>
      <w:pPr>
        <w:ind w:left="5040" w:hanging="360"/>
      </w:pPr>
      <w:rPr>
        <w:rFonts w:ascii="Symbol" w:hAnsi="Symbol" w:hint="default"/>
      </w:rPr>
    </w:lvl>
    <w:lvl w:ilvl="7" w:tplc="3AD8F9B8">
      <w:start w:val="1"/>
      <w:numFmt w:val="bullet"/>
      <w:lvlText w:val="o"/>
      <w:lvlJc w:val="left"/>
      <w:pPr>
        <w:ind w:left="5760" w:hanging="360"/>
      </w:pPr>
      <w:rPr>
        <w:rFonts w:ascii="Courier New" w:hAnsi="Courier New" w:hint="default"/>
      </w:rPr>
    </w:lvl>
    <w:lvl w:ilvl="8" w:tplc="9C5AA324">
      <w:start w:val="1"/>
      <w:numFmt w:val="bullet"/>
      <w:lvlText w:val=""/>
      <w:lvlJc w:val="left"/>
      <w:pPr>
        <w:ind w:left="6480" w:hanging="360"/>
      </w:pPr>
      <w:rPr>
        <w:rFonts w:ascii="Wingdings" w:hAnsi="Wingdings" w:hint="default"/>
      </w:rPr>
    </w:lvl>
  </w:abstractNum>
  <w:abstractNum w:abstractNumId="4" w15:restartNumberingAfterBreak="0">
    <w:nsid w:val="10CF7EE0"/>
    <w:multiLevelType w:val="hybridMultilevel"/>
    <w:tmpl w:val="64EAE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174035"/>
    <w:multiLevelType w:val="hybridMultilevel"/>
    <w:tmpl w:val="FA8A074E"/>
    <w:lvl w:ilvl="0" w:tplc="7062C3F8">
      <w:numFmt w:val="bullet"/>
      <w:lvlText w:val="•"/>
      <w:lvlJc w:val="left"/>
      <w:pPr>
        <w:ind w:left="1080" w:hanging="72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B11466"/>
    <w:multiLevelType w:val="hybridMultilevel"/>
    <w:tmpl w:val="D2B612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BC25BE"/>
    <w:multiLevelType w:val="hybridMultilevel"/>
    <w:tmpl w:val="52FC0C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1D3C4015"/>
    <w:multiLevelType w:val="hybridMultilevel"/>
    <w:tmpl w:val="715E9D7A"/>
    <w:lvl w:ilvl="0" w:tplc="D7A8F92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3B261AB"/>
    <w:multiLevelType w:val="hybridMultilevel"/>
    <w:tmpl w:val="719274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98B5ACD"/>
    <w:multiLevelType w:val="hybridMultilevel"/>
    <w:tmpl w:val="A9AE1370"/>
    <w:lvl w:ilvl="0" w:tplc="7062C3F8">
      <w:numFmt w:val="bullet"/>
      <w:lvlText w:val="•"/>
      <w:lvlJc w:val="left"/>
      <w:pPr>
        <w:ind w:left="1080" w:hanging="72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470373"/>
    <w:multiLevelType w:val="hybridMultilevel"/>
    <w:tmpl w:val="FA18363E"/>
    <w:lvl w:ilvl="0" w:tplc="D7A8F926">
      <w:start w:val="1"/>
      <w:numFmt w:val="bullet"/>
      <w:lvlText w:val=""/>
      <w:lvlJc w:val="left"/>
      <w:pPr>
        <w:ind w:left="720" w:hanging="360"/>
      </w:pPr>
      <w:rPr>
        <w:rFonts w:ascii="Symbol" w:hAnsi="Symbol" w:hint="default"/>
      </w:rPr>
    </w:lvl>
    <w:lvl w:ilvl="1" w:tplc="CE8A3992">
      <w:start w:val="1"/>
      <w:numFmt w:val="bullet"/>
      <w:lvlText w:val="o"/>
      <w:lvlJc w:val="left"/>
      <w:pPr>
        <w:ind w:left="1440" w:hanging="360"/>
      </w:pPr>
      <w:rPr>
        <w:rFonts w:ascii="Courier New" w:hAnsi="Courier New" w:hint="default"/>
      </w:rPr>
    </w:lvl>
    <w:lvl w:ilvl="2" w:tplc="241CD370">
      <w:start w:val="1"/>
      <w:numFmt w:val="bullet"/>
      <w:lvlText w:val=""/>
      <w:lvlJc w:val="left"/>
      <w:pPr>
        <w:ind w:left="2160" w:hanging="360"/>
      </w:pPr>
      <w:rPr>
        <w:rFonts w:ascii="Wingdings" w:hAnsi="Wingdings" w:hint="default"/>
      </w:rPr>
    </w:lvl>
    <w:lvl w:ilvl="3" w:tplc="F7DAEFAE">
      <w:start w:val="1"/>
      <w:numFmt w:val="bullet"/>
      <w:lvlText w:val=""/>
      <w:lvlJc w:val="left"/>
      <w:pPr>
        <w:ind w:left="2880" w:hanging="360"/>
      </w:pPr>
      <w:rPr>
        <w:rFonts w:ascii="Symbol" w:hAnsi="Symbol" w:hint="default"/>
      </w:rPr>
    </w:lvl>
    <w:lvl w:ilvl="4" w:tplc="A31E3B38">
      <w:start w:val="1"/>
      <w:numFmt w:val="bullet"/>
      <w:lvlText w:val="o"/>
      <w:lvlJc w:val="left"/>
      <w:pPr>
        <w:ind w:left="3600" w:hanging="360"/>
      </w:pPr>
      <w:rPr>
        <w:rFonts w:ascii="Courier New" w:hAnsi="Courier New" w:hint="default"/>
      </w:rPr>
    </w:lvl>
    <w:lvl w:ilvl="5" w:tplc="1F125498">
      <w:start w:val="1"/>
      <w:numFmt w:val="bullet"/>
      <w:lvlText w:val=""/>
      <w:lvlJc w:val="left"/>
      <w:pPr>
        <w:ind w:left="4320" w:hanging="360"/>
      </w:pPr>
      <w:rPr>
        <w:rFonts w:ascii="Wingdings" w:hAnsi="Wingdings" w:hint="default"/>
      </w:rPr>
    </w:lvl>
    <w:lvl w:ilvl="6" w:tplc="BBBCBB5C">
      <w:start w:val="1"/>
      <w:numFmt w:val="bullet"/>
      <w:lvlText w:val=""/>
      <w:lvlJc w:val="left"/>
      <w:pPr>
        <w:ind w:left="5040" w:hanging="360"/>
      </w:pPr>
      <w:rPr>
        <w:rFonts w:ascii="Symbol" w:hAnsi="Symbol" w:hint="default"/>
      </w:rPr>
    </w:lvl>
    <w:lvl w:ilvl="7" w:tplc="551A534C">
      <w:start w:val="1"/>
      <w:numFmt w:val="bullet"/>
      <w:lvlText w:val="o"/>
      <w:lvlJc w:val="left"/>
      <w:pPr>
        <w:ind w:left="5760" w:hanging="360"/>
      </w:pPr>
      <w:rPr>
        <w:rFonts w:ascii="Courier New" w:hAnsi="Courier New" w:hint="default"/>
      </w:rPr>
    </w:lvl>
    <w:lvl w:ilvl="8" w:tplc="E4984C56">
      <w:start w:val="1"/>
      <w:numFmt w:val="bullet"/>
      <w:lvlText w:val=""/>
      <w:lvlJc w:val="left"/>
      <w:pPr>
        <w:ind w:left="6480" w:hanging="360"/>
      </w:pPr>
      <w:rPr>
        <w:rFonts w:ascii="Wingdings" w:hAnsi="Wingdings" w:hint="default"/>
      </w:rPr>
    </w:lvl>
  </w:abstractNum>
  <w:abstractNum w:abstractNumId="12" w15:restartNumberingAfterBreak="0">
    <w:nsid w:val="42D05AB7"/>
    <w:multiLevelType w:val="hybridMultilevel"/>
    <w:tmpl w:val="50F8A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B4457A"/>
    <w:multiLevelType w:val="hybridMultilevel"/>
    <w:tmpl w:val="38D26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E52FCA"/>
    <w:multiLevelType w:val="hybridMultilevel"/>
    <w:tmpl w:val="166EC9E0"/>
    <w:lvl w:ilvl="0" w:tplc="7062C3F8">
      <w:numFmt w:val="bullet"/>
      <w:lvlText w:val="•"/>
      <w:lvlJc w:val="left"/>
      <w:pPr>
        <w:ind w:left="1440" w:hanging="72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F687567"/>
    <w:multiLevelType w:val="hybridMultilevel"/>
    <w:tmpl w:val="9FC4A3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5F8E0623"/>
    <w:multiLevelType w:val="hybridMultilevel"/>
    <w:tmpl w:val="2E46B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25367B2"/>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64B821BF"/>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7E555383"/>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409377724">
    <w:abstractNumId w:val="11"/>
  </w:num>
  <w:num w:numId="2" w16cid:durableId="371275439">
    <w:abstractNumId w:val="3"/>
  </w:num>
  <w:num w:numId="3" w16cid:durableId="1627736478">
    <w:abstractNumId w:val="0"/>
  </w:num>
  <w:num w:numId="4" w16cid:durableId="1307778211">
    <w:abstractNumId w:val="13"/>
  </w:num>
  <w:num w:numId="5" w16cid:durableId="1429235512">
    <w:abstractNumId w:val="9"/>
  </w:num>
  <w:num w:numId="6" w16cid:durableId="192814388">
    <w:abstractNumId w:val="16"/>
  </w:num>
  <w:num w:numId="7" w16cid:durableId="768741015">
    <w:abstractNumId w:val="2"/>
  </w:num>
  <w:num w:numId="8" w16cid:durableId="19671993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21179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57747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57518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6309931">
    <w:abstractNumId w:val="7"/>
  </w:num>
  <w:num w:numId="13" w16cid:durableId="1347438412">
    <w:abstractNumId w:val="1"/>
  </w:num>
  <w:num w:numId="14" w16cid:durableId="870189353">
    <w:abstractNumId w:val="4"/>
  </w:num>
  <w:num w:numId="15" w16cid:durableId="2001928573">
    <w:abstractNumId w:val="15"/>
  </w:num>
  <w:num w:numId="16" w16cid:durableId="936838041">
    <w:abstractNumId w:val="6"/>
  </w:num>
  <w:num w:numId="17" w16cid:durableId="1529680574">
    <w:abstractNumId w:val="10"/>
  </w:num>
  <w:num w:numId="18" w16cid:durableId="1974797345">
    <w:abstractNumId w:val="5"/>
  </w:num>
  <w:num w:numId="19" w16cid:durableId="1818495097">
    <w:abstractNumId w:val="14"/>
  </w:num>
  <w:num w:numId="20" w16cid:durableId="1614361991">
    <w:abstractNumId w:val="12"/>
  </w:num>
  <w:num w:numId="21" w16cid:durableId="20609391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07D"/>
    <w:rsid w:val="00001EF2"/>
    <w:rsid w:val="00006B35"/>
    <w:rsid w:val="00011123"/>
    <w:rsid w:val="00013C3C"/>
    <w:rsid w:val="00022DFB"/>
    <w:rsid w:val="00024C27"/>
    <w:rsid w:val="00027353"/>
    <w:rsid w:val="00027BFC"/>
    <w:rsid w:val="00031349"/>
    <w:rsid w:val="000323F9"/>
    <w:rsid w:val="00032803"/>
    <w:rsid w:val="00034D71"/>
    <w:rsid w:val="00034E77"/>
    <w:rsid w:val="00036013"/>
    <w:rsid w:val="00036703"/>
    <w:rsid w:val="0004140D"/>
    <w:rsid w:val="00042177"/>
    <w:rsid w:val="000427AB"/>
    <w:rsid w:val="000430C3"/>
    <w:rsid w:val="00047123"/>
    <w:rsid w:val="000514A4"/>
    <w:rsid w:val="0005236C"/>
    <w:rsid w:val="000605A8"/>
    <w:rsid w:val="000610B5"/>
    <w:rsid w:val="00064421"/>
    <w:rsid w:val="00064B63"/>
    <w:rsid w:val="00066A5D"/>
    <w:rsid w:val="00073176"/>
    <w:rsid w:val="00073D69"/>
    <w:rsid w:val="00076B7D"/>
    <w:rsid w:val="00082A11"/>
    <w:rsid w:val="00083332"/>
    <w:rsid w:val="00084292"/>
    <w:rsid w:val="000852B4"/>
    <w:rsid w:val="00086756"/>
    <w:rsid w:val="000911A0"/>
    <w:rsid w:val="000945C6"/>
    <w:rsid w:val="000963FA"/>
    <w:rsid w:val="000978B8"/>
    <w:rsid w:val="000A201F"/>
    <w:rsid w:val="000A4CDC"/>
    <w:rsid w:val="000A542D"/>
    <w:rsid w:val="000A645F"/>
    <w:rsid w:val="000B16DF"/>
    <w:rsid w:val="000B2630"/>
    <w:rsid w:val="000B2B6E"/>
    <w:rsid w:val="000B42DF"/>
    <w:rsid w:val="000B63A2"/>
    <w:rsid w:val="000B7E88"/>
    <w:rsid w:val="000C042E"/>
    <w:rsid w:val="000C0ED9"/>
    <w:rsid w:val="000C15A9"/>
    <w:rsid w:val="000C2615"/>
    <w:rsid w:val="000C2C26"/>
    <w:rsid w:val="000D032B"/>
    <w:rsid w:val="000D0E06"/>
    <w:rsid w:val="000D2F28"/>
    <w:rsid w:val="000D55A6"/>
    <w:rsid w:val="000D5A36"/>
    <w:rsid w:val="000D5EA2"/>
    <w:rsid w:val="000D6507"/>
    <w:rsid w:val="000E0754"/>
    <w:rsid w:val="000E0AD7"/>
    <w:rsid w:val="000E1B25"/>
    <w:rsid w:val="000E2033"/>
    <w:rsid w:val="000E3EC9"/>
    <w:rsid w:val="000E513F"/>
    <w:rsid w:val="000E526C"/>
    <w:rsid w:val="000E7A71"/>
    <w:rsid w:val="000F00C6"/>
    <w:rsid w:val="0010048E"/>
    <w:rsid w:val="001037B7"/>
    <w:rsid w:val="00103D51"/>
    <w:rsid w:val="00104BD1"/>
    <w:rsid w:val="00106473"/>
    <w:rsid w:val="00106B03"/>
    <w:rsid w:val="0011032A"/>
    <w:rsid w:val="0011164C"/>
    <w:rsid w:val="001133F7"/>
    <w:rsid w:val="00114309"/>
    <w:rsid w:val="00115F2F"/>
    <w:rsid w:val="001239D5"/>
    <w:rsid w:val="001262EF"/>
    <w:rsid w:val="00133DC3"/>
    <w:rsid w:val="00140E0A"/>
    <w:rsid w:val="001417A0"/>
    <w:rsid w:val="0014277B"/>
    <w:rsid w:val="00144797"/>
    <w:rsid w:val="00146D69"/>
    <w:rsid w:val="00146E80"/>
    <w:rsid w:val="00147ECB"/>
    <w:rsid w:val="00152263"/>
    <w:rsid w:val="00152866"/>
    <w:rsid w:val="00155B0A"/>
    <w:rsid w:val="001607B0"/>
    <w:rsid w:val="00161A49"/>
    <w:rsid w:val="00165AEE"/>
    <w:rsid w:val="001675F7"/>
    <w:rsid w:val="00167CE0"/>
    <w:rsid w:val="00170E5C"/>
    <w:rsid w:val="00171104"/>
    <w:rsid w:val="00175E2E"/>
    <w:rsid w:val="00177CB0"/>
    <w:rsid w:val="0018097E"/>
    <w:rsid w:val="0018336D"/>
    <w:rsid w:val="00185C3B"/>
    <w:rsid w:val="001918FD"/>
    <w:rsid w:val="0019321F"/>
    <w:rsid w:val="0019428F"/>
    <w:rsid w:val="00195D90"/>
    <w:rsid w:val="00195F3D"/>
    <w:rsid w:val="001A0575"/>
    <w:rsid w:val="001A511A"/>
    <w:rsid w:val="001B526D"/>
    <w:rsid w:val="001C2386"/>
    <w:rsid w:val="001C3456"/>
    <w:rsid w:val="001C4003"/>
    <w:rsid w:val="001C5E35"/>
    <w:rsid w:val="001C65FC"/>
    <w:rsid w:val="001D3D4D"/>
    <w:rsid w:val="001E20EF"/>
    <w:rsid w:val="001E24E3"/>
    <w:rsid w:val="001E260E"/>
    <w:rsid w:val="001E4D37"/>
    <w:rsid w:val="001E4EE5"/>
    <w:rsid w:val="001E57DD"/>
    <w:rsid w:val="001F3007"/>
    <w:rsid w:val="001F3DCC"/>
    <w:rsid w:val="001F45AB"/>
    <w:rsid w:val="001F758F"/>
    <w:rsid w:val="001F7792"/>
    <w:rsid w:val="001F77D0"/>
    <w:rsid w:val="0020046C"/>
    <w:rsid w:val="00201D5E"/>
    <w:rsid w:val="002054D4"/>
    <w:rsid w:val="00206799"/>
    <w:rsid w:val="002068B0"/>
    <w:rsid w:val="00207A72"/>
    <w:rsid w:val="0021614D"/>
    <w:rsid w:val="0022034E"/>
    <w:rsid w:val="002230E1"/>
    <w:rsid w:val="0022327F"/>
    <w:rsid w:val="00223919"/>
    <w:rsid w:val="00224284"/>
    <w:rsid w:val="00226F5A"/>
    <w:rsid w:val="0023028A"/>
    <w:rsid w:val="00230A52"/>
    <w:rsid w:val="00232670"/>
    <w:rsid w:val="0023407C"/>
    <w:rsid w:val="00237EAC"/>
    <w:rsid w:val="00241432"/>
    <w:rsid w:val="00241CC1"/>
    <w:rsid w:val="00252372"/>
    <w:rsid w:val="002548CC"/>
    <w:rsid w:val="002555E9"/>
    <w:rsid w:val="002574E4"/>
    <w:rsid w:val="00260CE6"/>
    <w:rsid w:val="00261D49"/>
    <w:rsid w:val="002621EA"/>
    <w:rsid w:val="00262BA0"/>
    <w:rsid w:val="0026361D"/>
    <w:rsid w:val="002657ED"/>
    <w:rsid w:val="00266221"/>
    <w:rsid w:val="00266A9E"/>
    <w:rsid w:val="00267372"/>
    <w:rsid w:val="002674DC"/>
    <w:rsid w:val="00267AD2"/>
    <w:rsid w:val="00273413"/>
    <w:rsid w:val="00276E24"/>
    <w:rsid w:val="00281456"/>
    <w:rsid w:val="0028709E"/>
    <w:rsid w:val="00287942"/>
    <w:rsid w:val="00293D28"/>
    <w:rsid w:val="00294495"/>
    <w:rsid w:val="002A261E"/>
    <w:rsid w:val="002A6160"/>
    <w:rsid w:val="002B1303"/>
    <w:rsid w:val="002B28E3"/>
    <w:rsid w:val="002B390A"/>
    <w:rsid w:val="002B3FCF"/>
    <w:rsid w:val="002B7FD8"/>
    <w:rsid w:val="002C227D"/>
    <w:rsid w:val="002C2D18"/>
    <w:rsid w:val="002C36AD"/>
    <w:rsid w:val="002C5CA1"/>
    <w:rsid w:val="002C64B4"/>
    <w:rsid w:val="002C7021"/>
    <w:rsid w:val="002C7033"/>
    <w:rsid w:val="002C7BCA"/>
    <w:rsid w:val="002C98C0"/>
    <w:rsid w:val="002D06D1"/>
    <w:rsid w:val="002E0C8E"/>
    <w:rsid w:val="002E1BB9"/>
    <w:rsid w:val="002E3A2F"/>
    <w:rsid w:val="002E3D27"/>
    <w:rsid w:val="002E535F"/>
    <w:rsid w:val="002E54FA"/>
    <w:rsid w:val="002E6EFC"/>
    <w:rsid w:val="002E7C8A"/>
    <w:rsid w:val="002F2B5C"/>
    <w:rsid w:val="002F3F59"/>
    <w:rsid w:val="002F450A"/>
    <w:rsid w:val="002F720D"/>
    <w:rsid w:val="003007B4"/>
    <w:rsid w:val="003033AF"/>
    <w:rsid w:val="00303571"/>
    <w:rsid w:val="00305612"/>
    <w:rsid w:val="00311123"/>
    <w:rsid w:val="00313FE7"/>
    <w:rsid w:val="00314345"/>
    <w:rsid w:val="00315A3E"/>
    <w:rsid w:val="003166CF"/>
    <w:rsid w:val="0031755B"/>
    <w:rsid w:val="00321CEA"/>
    <w:rsid w:val="00323E55"/>
    <w:rsid w:val="0032734C"/>
    <w:rsid w:val="0033036E"/>
    <w:rsid w:val="00330A0E"/>
    <w:rsid w:val="003326D7"/>
    <w:rsid w:val="00332928"/>
    <w:rsid w:val="003364EE"/>
    <w:rsid w:val="00336BC6"/>
    <w:rsid w:val="003436C8"/>
    <w:rsid w:val="00347358"/>
    <w:rsid w:val="003509E7"/>
    <w:rsid w:val="00351A24"/>
    <w:rsid w:val="00351A3D"/>
    <w:rsid w:val="003629D4"/>
    <w:rsid w:val="00364A3D"/>
    <w:rsid w:val="00364ACC"/>
    <w:rsid w:val="0037184B"/>
    <w:rsid w:val="00371877"/>
    <w:rsid w:val="00371FE1"/>
    <w:rsid w:val="003759D2"/>
    <w:rsid w:val="00375AC5"/>
    <w:rsid w:val="003762B4"/>
    <w:rsid w:val="003762E9"/>
    <w:rsid w:val="00377481"/>
    <w:rsid w:val="00377C01"/>
    <w:rsid w:val="0037BECA"/>
    <w:rsid w:val="003805B8"/>
    <w:rsid w:val="00381083"/>
    <w:rsid w:val="00381F9C"/>
    <w:rsid w:val="00382972"/>
    <w:rsid w:val="00383844"/>
    <w:rsid w:val="00385EC2"/>
    <w:rsid w:val="003879FD"/>
    <w:rsid w:val="00391463"/>
    <w:rsid w:val="00395510"/>
    <w:rsid w:val="0039F7DB"/>
    <w:rsid w:val="003A01D5"/>
    <w:rsid w:val="003A0E82"/>
    <w:rsid w:val="003A1D26"/>
    <w:rsid w:val="003A362E"/>
    <w:rsid w:val="003A4ACE"/>
    <w:rsid w:val="003A5886"/>
    <w:rsid w:val="003A744E"/>
    <w:rsid w:val="003B0B9B"/>
    <w:rsid w:val="003B280F"/>
    <w:rsid w:val="003B2B61"/>
    <w:rsid w:val="003B3643"/>
    <w:rsid w:val="003B3C1C"/>
    <w:rsid w:val="003B44F1"/>
    <w:rsid w:val="003B4A19"/>
    <w:rsid w:val="003B4BE6"/>
    <w:rsid w:val="003B5E82"/>
    <w:rsid w:val="003B646C"/>
    <w:rsid w:val="003B708F"/>
    <w:rsid w:val="003C248E"/>
    <w:rsid w:val="003C6C45"/>
    <w:rsid w:val="003D21FA"/>
    <w:rsid w:val="003D3477"/>
    <w:rsid w:val="003D5DAD"/>
    <w:rsid w:val="003D63C9"/>
    <w:rsid w:val="003E1AC7"/>
    <w:rsid w:val="003E1E89"/>
    <w:rsid w:val="003E1EF6"/>
    <w:rsid w:val="003E2473"/>
    <w:rsid w:val="003E3C2F"/>
    <w:rsid w:val="003E4EA9"/>
    <w:rsid w:val="003E5565"/>
    <w:rsid w:val="003F3C34"/>
    <w:rsid w:val="004004C4"/>
    <w:rsid w:val="00400652"/>
    <w:rsid w:val="0040093E"/>
    <w:rsid w:val="004024ED"/>
    <w:rsid w:val="0040396C"/>
    <w:rsid w:val="00404771"/>
    <w:rsid w:val="00405157"/>
    <w:rsid w:val="004057D0"/>
    <w:rsid w:val="00407C9E"/>
    <w:rsid w:val="0041025D"/>
    <w:rsid w:val="004113B2"/>
    <w:rsid w:val="004127E8"/>
    <w:rsid w:val="00414964"/>
    <w:rsid w:val="00417299"/>
    <w:rsid w:val="004208A1"/>
    <w:rsid w:val="00421E65"/>
    <w:rsid w:val="00423455"/>
    <w:rsid w:val="00424070"/>
    <w:rsid w:val="0042428B"/>
    <w:rsid w:val="00425A30"/>
    <w:rsid w:val="00425DDB"/>
    <w:rsid w:val="00425E49"/>
    <w:rsid w:val="00430C4F"/>
    <w:rsid w:val="00430EB5"/>
    <w:rsid w:val="0043276E"/>
    <w:rsid w:val="004333CC"/>
    <w:rsid w:val="004347E2"/>
    <w:rsid w:val="0043544C"/>
    <w:rsid w:val="00442EEC"/>
    <w:rsid w:val="0044353B"/>
    <w:rsid w:val="00444E11"/>
    <w:rsid w:val="00447D48"/>
    <w:rsid w:val="00452C9F"/>
    <w:rsid w:val="00460E50"/>
    <w:rsid w:val="00466234"/>
    <w:rsid w:val="00467186"/>
    <w:rsid w:val="0047175F"/>
    <w:rsid w:val="00474060"/>
    <w:rsid w:val="004751F9"/>
    <w:rsid w:val="004770D3"/>
    <w:rsid w:val="00480C87"/>
    <w:rsid w:val="00482C00"/>
    <w:rsid w:val="004833D9"/>
    <w:rsid w:val="00485562"/>
    <w:rsid w:val="00491A18"/>
    <w:rsid w:val="00491E6E"/>
    <w:rsid w:val="0049430D"/>
    <w:rsid w:val="004945D2"/>
    <w:rsid w:val="004967E4"/>
    <w:rsid w:val="00496864"/>
    <w:rsid w:val="004968F2"/>
    <w:rsid w:val="004A445A"/>
    <w:rsid w:val="004A46D6"/>
    <w:rsid w:val="004A4C0D"/>
    <w:rsid w:val="004A6446"/>
    <w:rsid w:val="004B1B2F"/>
    <w:rsid w:val="004B2080"/>
    <w:rsid w:val="004B326C"/>
    <w:rsid w:val="004B52FA"/>
    <w:rsid w:val="004B5AEC"/>
    <w:rsid w:val="004B681A"/>
    <w:rsid w:val="004B6D0A"/>
    <w:rsid w:val="004C3FAA"/>
    <w:rsid w:val="004C4C0A"/>
    <w:rsid w:val="004C4FA3"/>
    <w:rsid w:val="004C548A"/>
    <w:rsid w:val="004C5F4E"/>
    <w:rsid w:val="004D2BC5"/>
    <w:rsid w:val="004D3EEF"/>
    <w:rsid w:val="004D46E1"/>
    <w:rsid w:val="004D6E1F"/>
    <w:rsid w:val="004D74BA"/>
    <w:rsid w:val="004D761F"/>
    <w:rsid w:val="004E27E2"/>
    <w:rsid w:val="004E2EE7"/>
    <w:rsid w:val="004E4691"/>
    <w:rsid w:val="004E46A5"/>
    <w:rsid w:val="004F59B1"/>
    <w:rsid w:val="00502ED9"/>
    <w:rsid w:val="00503209"/>
    <w:rsid w:val="005035B4"/>
    <w:rsid w:val="0050793C"/>
    <w:rsid w:val="00510750"/>
    <w:rsid w:val="00511AA9"/>
    <w:rsid w:val="00512BD9"/>
    <w:rsid w:val="00514E8C"/>
    <w:rsid w:val="005207FD"/>
    <w:rsid w:val="00521BCC"/>
    <w:rsid w:val="00521CAB"/>
    <w:rsid w:val="00523621"/>
    <w:rsid w:val="00526469"/>
    <w:rsid w:val="00526BE9"/>
    <w:rsid w:val="00530D43"/>
    <w:rsid w:val="00535AF9"/>
    <w:rsid w:val="00537A0F"/>
    <w:rsid w:val="00543190"/>
    <w:rsid w:val="00543D63"/>
    <w:rsid w:val="00544DD2"/>
    <w:rsid w:val="00545FCD"/>
    <w:rsid w:val="0054669E"/>
    <w:rsid w:val="0054772F"/>
    <w:rsid w:val="0055046C"/>
    <w:rsid w:val="005514F7"/>
    <w:rsid w:val="0055185E"/>
    <w:rsid w:val="00551F8B"/>
    <w:rsid w:val="00552462"/>
    <w:rsid w:val="00553A6F"/>
    <w:rsid w:val="00554FEE"/>
    <w:rsid w:val="00555E73"/>
    <w:rsid w:val="0055626C"/>
    <w:rsid w:val="005668D7"/>
    <w:rsid w:val="0057480D"/>
    <w:rsid w:val="0057604E"/>
    <w:rsid w:val="00576FD6"/>
    <w:rsid w:val="005810C8"/>
    <w:rsid w:val="005810DB"/>
    <w:rsid w:val="00582C80"/>
    <w:rsid w:val="00582CA9"/>
    <w:rsid w:val="00584E27"/>
    <w:rsid w:val="00585175"/>
    <w:rsid w:val="005A4BE0"/>
    <w:rsid w:val="005B0E68"/>
    <w:rsid w:val="005B12FD"/>
    <w:rsid w:val="005B1B8F"/>
    <w:rsid w:val="005B24B6"/>
    <w:rsid w:val="005B39DC"/>
    <w:rsid w:val="005B3B0D"/>
    <w:rsid w:val="005B4C25"/>
    <w:rsid w:val="005C07A7"/>
    <w:rsid w:val="005C1520"/>
    <w:rsid w:val="005C1891"/>
    <w:rsid w:val="005C22BE"/>
    <w:rsid w:val="005C3018"/>
    <w:rsid w:val="005C51FE"/>
    <w:rsid w:val="005C6701"/>
    <w:rsid w:val="005D117E"/>
    <w:rsid w:val="005D7669"/>
    <w:rsid w:val="005E0CCD"/>
    <w:rsid w:val="005E190B"/>
    <w:rsid w:val="005E2E39"/>
    <w:rsid w:val="005E33FC"/>
    <w:rsid w:val="005E77E6"/>
    <w:rsid w:val="005F0A6A"/>
    <w:rsid w:val="005F0AAC"/>
    <w:rsid w:val="005F0D72"/>
    <w:rsid w:val="005F7F99"/>
    <w:rsid w:val="006007D8"/>
    <w:rsid w:val="006014CD"/>
    <w:rsid w:val="00601627"/>
    <w:rsid w:val="00601D80"/>
    <w:rsid w:val="00601D8C"/>
    <w:rsid w:val="006069F2"/>
    <w:rsid w:val="006077F7"/>
    <w:rsid w:val="00611710"/>
    <w:rsid w:val="006126B4"/>
    <w:rsid w:val="00612C44"/>
    <w:rsid w:val="00616375"/>
    <w:rsid w:val="006171AF"/>
    <w:rsid w:val="006208D3"/>
    <w:rsid w:val="00620D13"/>
    <w:rsid w:val="00620EF8"/>
    <w:rsid w:val="00621978"/>
    <w:rsid w:val="00626571"/>
    <w:rsid w:val="0063201B"/>
    <w:rsid w:val="0063267C"/>
    <w:rsid w:val="006347DD"/>
    <w:rsid w:val="0063505D"/>
    <w:rsid w:val="00635095"/>
    <w:rsid w:val="006366C2"/>
    <w:rsid w:val="00641D3C"/>
    <w:rsid w:val="00643734"/>
    <w:rsid w:val="00644281"/>
    <w:rsid w:val="0064699D"/>
    <w:rsid w:val="00647315"/>
    <w:rsid w:val="00651367"/>
    <w:rsid w:val="00656B4F"/>
    <w:rsid w:val="00661ABD"/>
    <w:rsid w:val="00662858"/>
    <w:rsid w:val="006647A6"/>
    <w:rsid w:val="006665B5"/>
    <w:rsid w:val="00666716"/>
    <w:rsid w:val="006669A9"/>
    <w:rsid w:val="00670C77"/>
    <w:rsid w:val="006725EE"/>
    <w:rsid w:val="00672E63"/>
    <w:rsid w:val="006738F2"/>
    <w:rsid w:val="00673FC5"/>
    <w:rsid w:val="006812FD"/>
    <w:rsid w:val="006828C4"/>
    <w:rsid w:val="00682A2A"/>
    <w:rsid w:val="00683334"/>
    <w:rsid w:val="00684F03"/>
    <w:rsid w:val="00685808"/>
    <w:rsid w:val="00686097"/>
    <w:rsid w:val="00686620"/>
    <w:rsid w:val="00690DBA"/>
    <w:rsid w:val="00692AC5"/>
    <w:rsid w:val="00693D8B"/>
    <w:rsid w:val="00697E65"/>
    <w:rsid w:val="006A0C5B"/>
    <w:rsid w:val="006A0EEA"/>
    <w:rsid w:val="006A1A3A"/>
    <w:rsid w:val="006A1FA6"/>
    <w:rsid w:val="006A35F1"/>
    <w:rsid w:val="006A4D92"/>
    <w:rsid w:val="006B0788"/>
    <w:rsid w:val="006B0F5B"/>
    <w:rsid w:val="006B152B"/>
    <w:rsid w:val="006B18D6"/>
    <w:rsid w:val="006B3288"/>
    <w:rsid w:val="006B457A"/>
    <w:rsid w:val="006B612A"/>
    <w:rsid w:val="006B70CD"/>
    <w:rsid w:val="006C1F10"/>
    <w:rsid w:val="006C2970"/>
    <w:rsid w:val="006C3991"/>
    <w:rsid w:val="006C7D7C"/>
    <w:rsid w:val="006D0593"/>
    <w:rsid w:val="006D13B7"/>
    <w:rsid w:val="006D60F7"/>
    <w:rsid w:val="006D63A5"/>
    <w:rsid w:val="006E2456"/>
    <w:rsid w:val="006E3F0C"/>
    <w:rsid w:val="006E44C4"/>
    <w:rsid w:val="006E4FAE"/>
    <w:rsid w:val="006E5066"/>
    <w:rsid w:val="006E6A12"/>
    <w:rsid w:val="006E75FE"/>
    <w:rsid w:val="006F1C7F"/>
    <w:rsid w:val="006F397C"/>
    <w:rsid w:val="007001C2"/>
    <w:rsid w:val="00700D68"/>
    <w:rsid w:val="007019A4"/>
    <w:rsid w:val="00704CD1"/>
    <w:rsid w:val="00707FAC"/>
    <w:rsid w:val="00715225"/>
    <w:rsid w:val="00716A5B"/>
    <w:rsid w:val="0071718F"/>
    <w:rsid w:val="007176C8"/>
    <w:rsid w:val="00721C63"/>
    <w:rsid w:val="00721CCF"/>
    <w:rsid w:val="00721EF9"/>
    <w:rsid w:val="00722C2A"/>
    <w:rsid w:val="00724A94"/>
    <w:rsid w:val="00725AC5"/>
    <w:rsid w:val="00730D61"/>
    <w:rsid w:val="00732D46"/>
    <w:rsid w:val="007338EB"/>
    <w:rsid w:val="00736A55"/>
    <w:rsid w:val="00736F66"/>
    <w:rsid w:val="00736FC2"/>
    <w:rsid w:val="00740BDE"/>
    <w:rsid w:val="00742D8F"/>
    <w:rsid w:val="00745682"/>
    <w:rsid w:val="00746CEA"/>
    <w:rsid w:val="00753072"/>
    <w:rsid w:val="0075368D"/>
    <w:rsid w:val="007542AD"/>
    <w:rsid w:val="00764665"/>
    <w:rsid w:val="00765ED1"/>
    <w:rsid w:val="007678F4"/>
    <w:rsid w:val="00771910"/>
    <w:rsid w:val="00771DF2"/>
    <w:rsid w:val="007728A4"/>
    <w:rsid w:val="00773A4D"/>
    <w:rsid w:val="007763E8"/>
    <w:rsid w:val="007845BA"/>
    <w:rsid w:val="00784715"/>
    <w:rsid w:val="00784D2C"/>
    <w:rsid w:val="00790F26"/>
    <w:rsid w:val="00792E27"/>
    <w:rsid w:val="00793423"/>
    <w:rsid w:val="0079385C"/>
    <w:rsid w:val="00794597"/>
    <w:rsid w:val="00796B0F"/>
    <w:rsid w:val="0079775B"/>
    <w:rsid w:val="00797AAD"/>
    <w:rsid w:val="007A0900"/>
    <w:rsid w:val="007A0EE0"/>
    <w:rsid w:val="007A29ED"/>
    <w:rsid w:val="007A3613"/>
    <w:rsid w:val="007A3C6C"/>
    <w:rsid w:val="007A6A30"/>
    <w:rsid w:val="007A6E57"/>
    <w:rsid w:val="007A7D89"/>
    <w:rsid w:val="007B01C8"/>
    <w:rsid w:val="007B12E7"/>
    <w:rsid w:val="007B35F1"/>
    <w:rsid w:val="007C1420"/>
    <w:rsid w:val="007C52F1"/>
    <w:rsid w:val="007C538B"/>
    <w:rsid w:val="007C5481"/>
    <w:rsid w:val="007C55CE"/>
    <w:rsid w:val="007C59B2"/>
    <w:rsid w:val="007D00A8"/>
    <w:rsid w:val="007D68F8"/>
    <w:rsid w:val="007D6DE1"/>
    <w:rsid w:val="007D712D"/>
    <w:rsid w:val="007E236C"/>
    <w:rsid w:val="007E2990"/>
    <w:rsid w:val="007E352A"/>
    <w:rsid w:val="007E366F"/>
    <w:rsid w:val="007E3C90"/>
    <w:rsid w:val="007E5CDB"/>
    <w:rsid w:val="007E788F"/>
    <w:rsid w:val="007F53DE"/>
    <w:rsid w:val="0080411D"/>
    <w:rsid w:val="00805C6A"/>
    <w:rsid w:val="00813E01"/>
    <w:rsid w:val="008148C5"/>
    <w:rsid w:val="0082117E"/>
    <w:rsid w:val="00825C96"/>
    <w:rsid w:val="00825E78"/>
    <w:rsid w:val="0082774B"/>
    <w:rsid w:val="00827B5F"/>
    <w:rsid w:val="00832B51"/>
    <w:rsid w:val="00835C63"/>
    <w:rsid w:val="008373A2"/>
    <w:rsid w:val="00845A63"/>
    <w:rsid w:val="0084601B"/>
    <w:rsid w:val="00847BA1"/>
    <w:rsid w:val="00850802"/>
    <w:rsid w:val="00854777"/>
    <w:rsid w:val="008554DD"/>
    <w:rsid w:val="008621C5"/>
    <w:rsid w:val="00864E50"/>
    <w:rsid w:val="0086508E"/>
    <w:rsid w:val="00865A22"/>
    <w:rsid w:val="0086674D"/>
    <w:rsid w:val="0087138D"/>
    <w:rsid w:val="0087550E"/>
    <w:rsid w:val="00881D34"/>
    <w:rsid w:val="008903B4"/>
    <w:rsid w:val="008910E5"/>
    <w:rsid w:val="00891494"/>
    <w:rsid w:val="00892441"/>
    <w:rsid w:val="00897465"/>
    <w:rsid w:val="008A12DB"/>
    <w:rsid w:val="008A2164"/>
    <w:rsid w:val="008A3BF8"/>
    <w:rsid w:val="008A4057"/>
    <w:rsid w:val="008A483F"/>
    <w:rsid w:val="008A7018"/>
    <w:rsid w:val="008A7A12"/>
    <w:rsid w:val="008A7D40"/>
    <w:rsid w:val="008A7EBD"/>
    <w:rsid w:val="008B1CA0"/>
    <w:rsid w:val="008B37EC"/>
    <w:rsid w:val="008B3E75"/>
    <w:rsid w:val="008B4859"/>
    <w:rsid w:val="008B48F9"/>
    <w:rsid w:val="008B4EB1"/>
    <w:rsid w:val="008B74A5"/>
    <w:rsid w:val="008B7BB4"/>
    <w:rsid w:val="008C4B95"/>
    <w:rsid w:val="008C6F9A"/>
    <w:rsid w:val="008D12E2"/>
    <w:rsid w:val="008D1B5B"/>
    <w:rsid w:val="008D4BBC"/>
    <w:rsid w:val="008E1FD0"/>
    <w:rsid w:val="008E7DAE"/>
    <w:rsid w:val="008F09CD"/>
    <w:rsid w:val="008F1D24"/>
    <w:rsid w:val="008F1D8F"/>
    <w:rsid w:val="008F4915"/>
    <w:rsid w:val="008F4AB8"/>
    <w:rsid w:val="008F4E12"/>
    <w:rsid w:val="008F5860"/>
    <w:rsid w:val="008F765D"/>
    <w:rsid w:val="008F7AD4"/>
    <w:rsid w:val="008F7E63"/>
    <w:rsid w:val="00901711"/>
    <w:rsid w:val="00901939"/>
    <w:rsid w:val="00901A56"/>
    <w:rsid w:val="00906EEB"/>
    <w:rsid w:val="00907E35"/>
    <w:rsid w:val="00920933"/>
    <w:rsid w:val="00925F6D"/>
    <w:rsid w:val="0092711B"/>
    <w:rsid w:val="0093155E"/>
    <w:rsid w:val="00931E77"/>
    <w:rsid w:val="00934361"/>
    <w:rsid w:val="00936048"/>
    <w:rsid w:val="00937257"/>
    <w:rsid w:val="0094116D"/>
    <w:rsid w:val="0094537E"/>
    <w:rsid w:val="0095013A"/>
    <w:rsid w:val="0095280D"/>
    <w:rsid w:val="009544F7"/>
    <w:rsid w:val="009550D3"/>
    <w:rsid w:val="00957039"/>
    <w:rsid w:val="0096328C"/>
    <w:rsid w:val="0096776C"/>
    <w:rsid w:val="0097392E"/>
    <w:rsid w:val="009755A6"/>
    <w:rsid w:val="00977223"/>
    <w:rsid w:val="009773E2"/>
    <w:rsid w:val="00977C5D"/>
    <w:rsid w:val="00986E78"/>
    <w:rsid w:val="00990231"/>
    <w:rsid w:val="0099504A"/>
    <w:rsid w:val="009A362D"/>
    <w:rsid w:val="009A3A68"/>
    <w:rsid w:val="009A40C8"/>
    <w:rsid w:val="009A58E7"/>
    <w:rsid w:val="009A71DB"/>
    <w:rsid w:val="009B0BD1"/>
    <w:rsid w:val="009B2FC6"/>
    <w:rsid w:val="009B311E"/>
    <w:rsid w:val="009C04BB"/>
    <w:rsid w:val="009C2CE8"/>
    <w:rsid w:val="009C3803"/>
    <w:rsid w:val="009C6ACA"/>
    <w:rsid w:val="009D0890"/>
    <w:rsid w:val="009E50C0"/>
    <w:rsid w:val="009E570E"/>
    <w:rsid w:val="009F20F1"/>
    <w:rsid w:val="009F2AF2"/>
    <w:rsid w:val="009F3317"/>
    <w:rsid w:val="009F4BAB"/>
    <w:rsid w:val="00A0001E"/>
    <w:rsid w:val="00A011A1"/>
    <w:rsid w:val="00A01402"/>
    <w:rsid w:val="00A01801"/>
    <w:rsid w:val="00A06FCA"/>
    <w:rsid w:val="00A1075E"/>
    <w:rsid w:val="00A14455"/>
    <w:rsid w:val="00A14E70"/>
    <w:rsid w:val="00A14EAC"/>
    <w:rsid w:val="00A15C2E"/>
    <w:rsid w:val="00A16192"/>
    <w:rsid w:val="00A16B92"/>
    <w:rsid w:val="00A2592E"/>
    <w:rsid w:val="00A26BF0"/>
    <w:rsid w:val="00A27F77"/>
    <w:rsid w:val="00A300AB"/>
    <w:rsid w:val="00A30364"/>
    <w:rsid w:val="00A33444"/>
    <w:rsid w:val="00A34755"/>
    <w:rsid w:val="00A355D5"/>
    <w:rsid w:val="00A43DC2"/>
    <w:rsid w:val="00A440EF"/>
    <w:rsid w:val="00A45E38"/>
    <w:rsid w:val="00A46ECF"/>
    <w:rsid w:val="00A47539"/>
    <w:rsid w:val="00A5269C"/>
    <w:rsid w:val="00A52875"/>
    <w:rsid w:val="00A54714"/>
    <w:rsid w:val="00A54CFB"/>
    <w:rsid w:val="00A56B78"/>
    <w:rsid w:val="00A60DF9"/>
    <w:rsid w:val="00A61705"/>
    <w:rsid w:val="00A66433"/>
    <w:rsid w:val="00A67E84"/>
    <w:rsid w:val="00A67F88"/>
    <w:rsid w:val="00A71634"/>
    <w:rsid w:val="00A71B8E"/>
    <w:rsid w:val="00A72A6D"/>
    <w:rsid w:val="00A75315"/>
    <w:rsid w:val="00A76BD0"/>
    <w:rsid w:val="00A77373"/>
    <w:rsid w:val="00A774DF"/>
    <w:rsid w:val="00A77D59"/>
    <w:rsid w:val="00A808CA"/>
    <w:rsid w:val="00A80CBF"/>
    <w:rsid w:val="00A820B1"/>
    <w:rsid w:val="00A90A3A"/>
    <w:rsid w:val="00A9707D"/>
    <w:rsid w:val="00A97575"/>
    <w:rsid w:val="00AA04E0"/>
    <w:rsid w:val="00AA054E"/>
    <w:rsid w:val="00AA247D"/>
    <w:rsid w:val="00AA5B55"/>
    <w:rsid w:val="00AA7400"/>
    <w:rsid w:val="00AB24C1"/>
    <w:rsid w:val="00AB426F"/>
    <w:rsid w:val="00AB5CFE"/>
    <w:rsid w:val="00AC3FA0"/>
    <w:rsid w:val="00AC4A02"/>
    <w:rsid w:val="00AC581D"/>
    <w:rsid w:val="00AC6306"/>
    <w:rsid w:val="00AC718C"/>
    <w:rsid w:val="00AD0EC7"/>
    <w:rsid w:val="00AD249D"/>
    <w:rsid w:val="00AD6E51"/>
    <w:rsid w:val="00AE098D"/>
    <w:rsid w:val="00AE2CE8"/>
    <w:rsid w:val="00AE4851"/>
    <w:rsid w:val="00AE4D1A"/>
    <w:rsid w:val="00AE619E"/>
    <w:rsid w:val="00AE710D"/>
    <w:rsid w:val="00AF1A58"/>
    <w:rsid w:val="00AF1D3E"/>
    <w:rsid w:val="00AF3022"/>
    <w:rsid w:val="00AF3A37"/>
    <w:rsid w:val="00AF3CA4"/>
    <w:rsid w:val="00AF5205"/>
    <w:rsid w:val="00AF6207"/>
    <w:rsid w:val="00AF62C1"/>
    <w:rsid w:val="00B009A1"/>
    <w:rsid w:val="00B01258"/>
    <w:rsid w:val="00B0129B"/>
    <w:rsid w:val="00B028B5"/>
    <w:rsid w:val="00B049FB"/>
    <w:rsid w:val="00B073A5"/>
    <w:rsid w:val="00B11155"/>
    <w:rsid w:val="00B11221"/>
    <w:rsid w:val="00B12C03"/>
    <w:rsid w:val="00B12F6F"/>
    <w:rsid w:val="00B13513"/>
    <w:rsid w:val="00B2035E"/>
    <w:rsid w:val="00B20AEE"/>
    <w:rsid w:val="00B22C77"/>
    <w:rsid w:val="00B2355E"/>
    <w:rsid w:val="00B248D7"/>
    <w:rsid w:val="00B24CE8"/>
    <w:rsid w:val="00B25140"/>
    <w:rsid w:val="00B27655"/>
    <w:rsid w:val="00B321F5"/>
    <w:rsid w:val="00B33E25"/>
    <w:rsid w:val="00B33F2E"/>
    <w:rsid w:val="00B3756C"/>
    <w:rsid w:val="00B3770F"/>
    <w:rsid w:val="00B4427A"/>
    <w:rsid w:val="00B443B8"/>
    <w:rsid w:val="00B45156"/>
    <w:rsid w:val="00B45298"/>
    <w:rsid w:val="00B45593"/>
    <w:rsid w:val="00B517AF"/>
    <w:rsid w:val="00B51E9E"/>
    <w:rsid w:val="00B532ED"/>
    <w:rsid w:val="00B6040A"/>
    <w:rsid w:val="00B60D67"/>
    <w:rsid w:val="00B627CE"/>
    <w:rsid w:val="00B64B39"/>
    <w:rsid w:val="00B651D7"/>
    <w:rsid w:val="00B654E0"/>
    <w:rsid w:val="00B66E94"/>
    <w:rsid w:val="00B70317"/>
    <w:rsid w:val="00B7355E"/>
    <w:rsid w:val="00B75403"/>
    <w:rsid w:val="00B86044"/>
    <w:rsid w:val="00B866C1"/>
    <w:rsid w:val="00B86FC2"/>
    <w:rsid w:val="00B87570"/>
    <w:rsid w:val="00B877B5"/>
    <w:rsid w:val="00B900B8"/>
    <w:rsid w:val="00B90425"/>
    <w:rsid w:val="00B90463"/>
    <w:rsid w:val="00B91D54"/>
    <w:rsid w:val="00B93F0B"/>
    <w:rsid w:val="00B94A16"/>
    <w:rsid w:val="00BA3ACA"/>
    <w:rsid w:val="00BA60BF"/>
    <w:rsid w:val="00BA6F30"/>
    <w:rsid w:val="00BB0E9C"/>
    <w:rsid w:val="00BB1388"/>
    <w:rsid w:val="00BB1598"/>
    <w:rsid w:val="00BB611F"/>
    <w:rsid w:val="00BB6277"/>
    <w:rsid w:val="00BB71B3"/>
    <w:rsid w:val="00BC28C5"/>
    <w:rsid w:val="00BC3BFF"/>
    <w:rsid w:val="00BC4B58"/>
    <w:rsid w:val="00BC4CF9"/>
    <w:rsid w:val="00BD1A14"/>
    <w:rsid w:val="00BD3961"/>
    <w:rsid w:val="00BD59A3"/>
    <w:rsid w:val="00BD5D45"/>
    <w:rsid w:val="00BE1682"/>
    <w:rsid w:val="00BE40D5"/>
    <w:rsid w:val="00BE4BD0"/>
    <w:rsid w:val="00BE7B6E"/>
    <w:rsid w:val="00BE7D87"/>
    <w:rsid w:val="00BF1578"/>
    <w:rsid w:val="00BF2F97"/>
    <w:rsid w:val="00BF482C"/>
    <w:rsid w:val="00BF76BE"/>
    <w:rsid w:val="00C00E72"/>
    <w:rsid w:val="00C0277C"/>
    <w:rsid w:val="00C027F3"/>
    <w:rsid w:val="00C03912"/>
    <w:rsid w:val="00C06AC3"/>
    <w:rsid w:val="00C1131D"/>
    <w:rsid w:val="00C12185"/>
    <w:rsid w:val="00C164BB"/>
    <w:rsid w:val="00C179A5"/>
    <w:rsid w:val="00C21545"/>
    <w:rsid w:val="00C24CC9"/>
    <w:rsid w:val="00C26A89"/>
    <w:rsid w:val="00C32301"/>
    <w:rsid w:val="00C405D4"/>
    <w:rsid w:val="00C43BB0"/>
    <w:rsid w:val="00C44A81"/>
    <w:rsid w:val="00C44F85"/>
    <w:rsid w:val="00C465B8"/>
    <w:rsid w:val="00C50B0A"/>
    <w:rsid w:val="00C50C51"/>
    <w:rsid w:val="00C50DA0"/>
    <w:rsid w:val="00C5140C"/>
    <w:rsid w:val="00C5201A"/>
    <w:rsid w:val="00C53591"/>
    <w:rsid w:val="00C56B2B"/>
    <w:rsid w:val="00C60414"/>
    <w:rsid w:val="00C62247"/>
    <w:rsid w:val="00C62C3B"/>
    <w:rsid w:val="00C63036"/>
    <w:rsid w:val="00C6374A"/>
    <w:rsid w:val="00C63891"/>
    <w:rsid w:val="00C63E45"/>
    <w:rsid w:val="00C64662"/>
    <w:rsid w:val="00C64CA6"/>
    <w:rsid w:val="00C65F74"/>
    <w:rsid w:val="00C71343"/>
    <w:rsid w:val="00C74C4A"/>
    <w:rsid w:val="00C81E04"/>
    <w:rsid w:val="00C82832"/>
    <w:rsid w:val="00C82C75"/>
    <w:rsid w:val="00C83135"/>
    <w:rsid w:val="00C84A05"/>
    <w:rsid w:val="00C873A9"/>
    <w:rsid w:val="00C92273"/>
    <w:rsid w:val="00C96D7A"/>
    <w:rsid w:val="00CA0C88"/>
    <w:rsid w:val="00CA185A"/>
    <w:rsid w:val="00CA2436"/>
    <w:rsid w:val="00CA53E9"/>
    <w:rsid w:val="00CA5B4D"/>
    <w:rsid w:val="00CA5C24"/>
    <w:rsid w:val="00CB2C62"/>
    <w:rsid w:val="00CB498B"/>
    <w:rsid w:val="00CB610B"/>
    <w:rsid w:val="00CB6396"/>
    <w:rsid w:val="00CB6D61"/>
    <w:rsid w:val="00CB7030"/>
    <w:rsid w:val="00CC4710"/>
    <w:rsid w:val="00CC5584"/>
    <w:rsid w:val="00CC60F7"/>
    <w:rsid w:val="00CC707E"/>
    <w:rsid w:val="00CD06E2"/>
    <w:rsid w:val="00CD0D5F"/>
    <w:rsid w:val="00CD1342"/>
    <w:rsid w:val="00CD4256"/>
    <w:rsid w:val="00CD464B"/>
    <w:rsid w:val="00CD4F97"/>
    <w:rsid w:val="00CE0897"/>
    <w:rsid w:val="00CE08E0"/>
    <w:rsid w:val="00CE0CBE"/>
    <w:rsid w:val="00CE525E"/>
    <w:rsid w:val="00CE7F28"/>
    <w:rsid w:val="00CF09BE"/>
    <w:rsid w:val="00CF1E14"/>
    <w:rsid w:val="00CF2542"/>
    <w:rsid w:val="00CF2BBE"/>
    <w:rsid w:val="00CF2C4F"/>
    <w:rsid w:val="00CF55FB"/>
    <w:rsid w:val="00D00DDB"/>
    <w:rsid w:val="00D02039"/>
    <w:rsid w:val="00D02098"/>
    <w:rsid w:val="00D049C5"/>
    <w:rsid w:val="00D0705C"/>
    <w:rsid w:val="00D1226E"/>
    <w:rsid w:val="00D136BE"/>
    <w:rsid w:val="00D13B00"/>
    <w:rsid w:val="00D1582D"/>
    <w:rsid w:val="00D15FA3"/>
    <w:rsid w:val="00D2097E"/>
    <w:rsid w:val="00D23865"/>
    <w:rsid w:val="00D26947"/>
    <w:rsid w:val="00D27982"/>
    <w:rsid w:val="00D3006F"/>
    <w:rsid w:val="00D3096F"/>
    <w:rsid w:val="00D30C5C"/>
    <w:rsid w:val="00D30FE5"/>
    <w:rsid w:val="00D323A7"/>
    <w:rsid w:val="00D37AD0"/>
    <w:rsid w:val="00D37C58"/>
    <w:rsid w:val="00D4242C"/>
    <w:rsid w:val="00D43EBE"/>
    <w:rsid w:val="00D44A2C"/>
    <w:rsid w:val="00D457DD"/>
    <w:rsid w:val="00D52BB9"/>
    <w:rsid w:val="00D56996"/>
    <w:rsid w:val="00D56A19"/>
    <w:rsid w:val="00D61F09"/>
    <w:rsid w:val="00D6508B"/>
    <w:rsid w:val="00D66CF5"/>
    <w:rsid w:val="00D71EF8"/>
    <w:rsid w:val="00D732C2"/>
    <w:rsid w:val="00D73E0B"/>
    <w:rsid w:val="00D76255"/>
    <w:rsid w:val="00D76BAA"/>
    <w:rsid w:val="00D80B1B"/>
    <w:rsid w:val="00D80B3A"/>
    <w:rsid w:val="00D849FA"/>
    <w:rsid w:val="00D86E0A"/>
    <w:rsid w:val="00D8736C"/>
    <w:rsid w:val="00D910D7"/>
    <w:rsid w:val="00D917E1"/>
    <w:rsid w:val="00D960BF"/>
    <w:rsid w:val="00D96DE6"/>
    <w:rsid w:val="00DA0AD0"/>
    <w:rsid w:val="00DA198E"/>
    <w:rsid w:val="00DA2BAC"/>
    <w:rsid w:val="00DA3349"/>
    <w:rsid w:val="00DA53A9"/>
    <w:rsid w:val="00DA57AD"/>
    <w:rsid w:val="00DA5870"/>
    <w:rsid w:val="00DA6E21"/>
    <w:rsid w:val="00DA6F44"/>
    <w:rsid w:val="00DB1F29"/>
    <w:rsid w:val="00DB4754"/>
    <w:rsid w:val="00DB7F4A"/>
    <w:rsid w:val="00DC0226"/>
    <w:rsid w:val="00DC44AF"/>
    <w:rsid w:val="00DC648B"/>
    <w:rsid w:val="00DC6F83"/>
    <w:rsid w:val="00DD0575"/>
    <w:rsid w:val="00DD19B2"/>
    <w:rsid w:val="00DD1C29"/>
    <w:rsid w:val="00DD3D68"/>
    <w:rsid w:val="00DE0F4C"/>
    <w:rsid w:val="00DE2403"/>
    <w:rsid w:val="00DE2C73"/>
    <w:rsid w:val="00DE6F99"/>
    <w:rsid w:val="00DEFEDE"/>
    <w:rsid w:val="00DF4993"/>
    <w:rsid w:val="00DF5AA4"/>
    <w:rsid w:val="00DF5F52"/>
    <w:rsid w:val="00E01C37"/>
    <w:rsid w:val="00E02087"/>
    <w:rsid w:val="00E0215E"/>
    <w:rsid w:val="00E03435"/>
    <w:rsid w:val="00E1080F"/>
    <w:rsid w:val="00E11D59"/>
    <w:rsid w:val="00E14C17"/>
    <w:rsid w:val="00E157BE"/>
    <w:rsid w:val="00E1641D"/>
    <w:rsid w:val="00E26339"/>
    <w:rsid w:val="00E26802"/>
    <w:rsid w:val="00E30CD4"/>
    <w:rsid w:val="00E33B37"/>
    <w:rsid w:val="00E346C5"/>
    <w:rsid w:val="00E36B2D"/>
    <w:rsid w:val="00E37E9F"/>
    <w:rsid w:val="00E40AED"/>
    <w:rsid w:val="00E41B1C"/>
    <w:rsid w:val="00E41CC0"/>
    <w:rsid w:val="00E43DD6"/>
    <w:rsid w:val="00E44121"/>
    <w:rsid w:val="00E51A01"/>
    <w:rsid w:val="00E53A64"/>
    <w:rsid w:val="00E53CA1"/>
    <w:rsid w:val="00E608D0"/>
    <w:rsid w:val="00E60CFB"/>
    <w:rsid w:val="00E61828"/>
    <w:rsid w:val="00E6586A"/>
    <w:rsid w:val="00E65956"/>
    <w:rsid w:val="00E72C5B"/>
    <w:rsid w:val="00E74548"/>
    <w:rsid w:val="00E765F8"/>
    <w:rsid w:val="00E8031D"/>
    <w:rsid w:val="00E82732"/>
    <w:rsid w:val="00E82E70"/>
    <w:rsid w:val="00E84932"/>
    <w:rsid w:val="00E84D7D"/>
    <w:rsid w:val="00E864D8"/>
    <w:rsid w:val="00E8A739"/>
    <w:rsid w:val="00E90DAE"/>
    <w:rsid w:val="00E91331"/>
    <w:rsid w:val="00E91CC3"/>
    <w:rsid w:val="00E92D19"/>
    <w:rsid w:val="00E97179"/>
    <w:rsid w:val="00E971BB"/>
    <w:rsid w:val="00E97B7F"/>
    <w:rsid w:val="00EA4B01"/>
    <w:rsid w:val="00EA5F2E"/>
    <w:rsid w:val="00EA5FEC"/>
    <w:rsid w:val="00EA6174"/>
    <w:rsid w:val="00EA7152"/>
    <w:rsid w:val="00EA74A5"/>
    <w:rsid w:val="00EB3330"/>
    <w:rsid w:val="00EB3A75"/>
    <w:rsid w:val="00EB4BC0"/>
    <w:rsid w:val="00EB5941"/>
    <w:rsid w:val="00EC0B20"/>
    <w:rsid w:val="00EC0F7C"/>
    <w:rsid w:val="00EC1F47"/>
    <w:rsid w:val="00EC298E"/>
    <w:rsid w:val="00EC35FE"/>
    <w:rsid w:val="00EC3ACA"/>
    <w:rsid w:val="00EC3D6F"/>
    <w:rsid w:val="00EC43BA"/>
    <w:rsid w:val="00EC795B"/>
    <w:rsid w:val="00ED1394"/>
    <w:rsid w:val="00ED366C"/>
    <w:rsid w:val="00ED5A96"/>
    <w:rsid w:val="00ED775A"/>
    <w:rsid w:val="00EE4666"/>
    <w:rsid w:val="00EF095A"/>
    <w:rsid w:val="00EF5403"/>
    <w:rsid w:val="00EF645A"/>
    <w:rsid w:val="00F0707D"/>
    <w:rsid w:val="00F072C4"/>
    <w:rsid w:val="00F07545"/>
    <w:rsid w:val="00F1014E"/>
    <w:rsid w:val="00F121C0"/>
    <w:rsid w:val="00F141DB"/>
    <w:rsid w:val="00F15927"/>
    <w:rsid w:val="00F16A9C"/>
    <w:rsid w:val="00F20E5A"/>
    <w:rsid w:val="00F227C9"/>
    <w:rsid w:val="00F3010C"/>
    <w:rsid w:val="00F32043"/>
    <w:rsid w:val="00F32133"/>
    <w:rsid w:val="00F338D7"/>
    <w:rsid w:val="00F35889"/>
    <w:rsid w:val="00F40950"/>
    <w:rsid w:val="00F46AB8"/>
    <w:rsid w:val="00F518C8"/>
    <w:rsid w:val="00F51DB7"/>
    <w:rsid w:val="00F52687"/>
    <w:rsid w:val="00F55668"/>
    <w:rsid w:val="00F566D5"/>
    <w:rsid w:val="00F60134"/>
    <w:rsid w:val="00F6334B"/>
    <w:rsid w:val="00F66695"/>
    <w:rsid w:val="00F71F95"/>
    <w:rsid w:val="00F7401C"/>
    <w:rsid w:val="00F748AB"/>
    <w:rsid w:val="00F76F66"/>
    <w:rsid w:val="00F775A9"/>
    <w:rsid w:val="00F8101E"/>
    <w:rsid w:val="00F81315"/>
    <w:rsid w:val="00F81642"/>
    <w:rsid w:val="00F8210E"/>
    <w:rsid w:val="00F8462B"/>
    <w:rsid w:val="00F911D8"/>
    <w:rsid w:val="00F91272"/>
    <w:rsid w:val="00F943B9"/>
    <w:rsid w:val="00F95532"/>
    <w:rsid w:val="00F96EC8"/>
    <w:rsid w:val="00FA164A"/>
    <w:rsid w:val="00FA1F28"/>
    <w:rsid w:val="00FA30D6"/>
    <w:rsid w:val="00FA6C97"/>
    <w:rsid w:val="00FB06BA"/>
    <w:rsid w:val="00FB0DF3"/>
    <w:rsid w:val="00FB1853"/>
    <w:rsid w:val="00FB1CB3"/>
    <w:rsid w:val="00FB548F"/>
    <w:rsid w:val="00FB5803"/>
    <w:rsid w:val="00FB6F7E"/>
    <w:rsid w:val="00FB776F"/>
    <w:rsid w:val="00FB7DBE"/>
    <w:rsid w:val="00FC4B94"/>
    <w:rsid w:val="00FC5953"/>
    <w:rsid w:val="00FC6163"/>
    <w:rsid w:val="00FC6BF4"/>
    <w:rsid w:val="00FC6E1E"/>
    <w:rsid w:val="00FD089B"/>
    <w:rsid w:val="00FD197D"/>
    <w:rsid w:val="00FD23AB"/>
    <w:rsid w:val="00FD7B16"/>
    <w:rsid w:val="00FE0066"/>
    <w:rsid w:val="00FE38EA"/>
    <w:rsid w:val="00FE3AC1"/>
    <w:rsid w:val="00FE3BA8"/>
    <w:rsid w:val="00FE5772"/>
    <w:rsid w:val="00FE5ACB"/>
    <w:rsid w:val="00FF1740"/>
    <w:rsid w:val="00FF338A"/>
    <w:rsid w:val="00FF4EDC"/>
    <w:rsid w:val="00FF6129"/>
    <w:rsid w:val="00FF66C6"/>
    <w:rsid w:val="00FF771E"/>
    <w:rsid w:val="010C20EC"/>
    <w:rsid w:val="0110E26F"/>
    <w:rsid w:val="01134E42"/>
    <w:rsid w:val="01284EFC"/>
    <w:rsid w:val="012C0D93"/>
    <w:rsid w:val="016D53ED"/>
    <w:rsid w:val="016F9C12"/>
    <w:rsid w:val="01812A2B"/>
    <w:rsid w:val="01A9DD04"/>
    <w:rsid w:val="01FF26CF"/>
    <w:rsid w:val="0201987E"/>
    <w:rsid w:val="02072985"/>
    <w:rsid w:val="020F879C"/>
    <w:rsid w:val="02252B0C"/>
    <w:rsid w:val="022FE92F"/>
    <w:rsid w:val="0233E86C"/>
    <w:rsid w:val="02789998"/>
    <w:rsid w:val="029A0E80"/>
    <w:rsid w:val="02A21E8D"/>
    <w:rsid w:val="02C1C5E2"/>
    <w:rsid w:val="02E025EC"/>
    <w:rsid w:val="02F53594"/>
    <w:rsid w:val="03264ECE"/>
    <w:rsid w:val="032F0FF1"/>
    <w:rsid w:val="034B1125"/>
    <w:rsid w:val="0364FEF6"/>
    <w:rsid w:val="0372A360"/>
    <w:rsid w:val="03D0C1B1"/>
    <w:rsid w:val="03E4EA6A"/>
    <w:rsid w:val="03E9A203"/>
    <w:rsid w:val="040EAB8E"/>
    <w:rsid w:val="0422ECD0"/>
    <w:rsid w:val="04511A4E"/>
    <w:rsid w:val="046BB292"/>
    <w:rsid w:val="04987F3A"/>
    <w:rsid w:val="04A0D39A"/>
    <w:rsid w:val="04A4F4AF"/>
    <w:rsid w:val="04A76460"/>
    <w:rsid w:val="04B31EC4"/>
    <w:rsid w:val="04CE92B2"/>
    <w:rsid w:val="04F3F057"/>
    <w:rsid w:val="052BF141"/>
    <w:rsid w:val="052D0BC5"/>
    <w:rsid w:val="053EB517"/>
    <w:rsid w:val="0540F0F2"/>
    <w:rsid w:val="056C9212"/>
    <w:rsid w:val="056DAEF4"/>
    <w:rsid w:val="05772699"/>
    <w:rsid w:val="058A3270"/>
    <w:rsid w:val="05A1ED10"/>
    <w:rsid w:val="05B03A5A"/>
    <w:rsid w:val="05B1DFFF"/>
    <w:rsid w:val="05F1A468"/>
    <w:rsid w:val="05F82D8C"/>
    <w:rsid w:val="0622DE3F"/>
    <w:rsid w:val="065FC1AA"/>
    <w:rsid w:val="06AA4422"/>
    <w:rsid w:val="06AED279"/>
    <w:rsid w:val="06C7D9E8"/>
    <w:rsid w:val="06D80AF2"/>
    <w:rsid w:val="06D9C7CE"/>
    <w:rsid w:val="06DA8578"/>
    <w:rsid w:val="06DCD14A"/>
    <w:rsid w:val="06F1334F"/>
    <w:rsid w:val="070CDD2E"/>
    <w:rsid w:val="0751B39D"/>
    <w:rsid w:val="07714EB4"/>
    <w:rsid w:val="07744C6C"/>
    <w:rsid w:val="078A3DA8"/>
    <w:rsid w:val="07AC74DE"/>
    <w:rsid w:val="07CF0389"/>
    <w:rsid w:val="07CF81F3"/>
    <w:rsid w:val="07FAABD4"/>
    <w:rsid w:val="08007F5E"/>
    <w:rsid w:val="08639203"/>
    <w:rsid w:val="08672648"/>
    <w:rsid w:val="08A06D70"/>
    <w:rsid w:val="08F031BB"/>
    <w:rsid w:val="091F9CCF"/>
    <w:rsid w:val="0926F3E9"/>
    <w:rsid w:val="094E817C"/>
    <w:rsid w:val="096107E9"/>
    <w:rsid w:val="0A0FB747"/>
    <w:rsid w:val="0A2393F3"/>
    <w:rsid w:val="0A488427"/>
    <w:rsid w:val="0A90FCC3"/>
    <w:rsid w:val="0A98953B"/>
    <w:rsid w:val="0A9E6524"/>
    <w:rsid w:val="0AAF96B5"/>
    <w:rsid w:val="0AB71401"/>
    <w:rsid w:val="0ABC7F7A"/>
    <w:rsid w:val="0ACB115F"/>
    <w:rsid w:val="0AD26403"/>
    <w:rsid w:val="0AEC38C5"/>
    <w:rsid w:val="0B051558"/>
    <w:rsid w:val="0B9B32C5"/>
    <w:rsid w:val="0BC6794C"/>
    <w:rsid w:val="0BD0E0C7"/>
    <w:rsid w:val="0BD39E0F"/>
    <w:rsid w:val="0BFD0540"/>
    <w:rsid w:val="0C074A34"/>
    <w:rsid w:val="0C14D658"/>
    <w:rsid w:val="0C19CB75"/>
    <w:rsid w:val="0C45ED9B"/>
    <w:rsid w:val="0C57A522"/>
    <w:rsid w:val="0C7A0704"/>
    <w:rsid w:val="0C7FE601"/>
    <w:rsid w:val="0C86223E"/>
    <w:rsid w:val="0CC07C3A"/>
    <w:rsid w:val="0CCC7DCD"/>
    <w:rsid w:val="0D0C3F68"/>
    <w:rsid w:val="0D475809"/>
    <w:rsid w:val="0D5601C2"/>
    <w:rsid w:val="0D78C0D9"/>
    <w:rsid w:val="0D8024E9"/>
    <w:rsid w:val="0D865E85"/>
    <w:rsid w:val="0D96DAA6"/>
    <w:rsid w:val="0DAEAC62"/>
    <w:rsid w:val="0DC875D7"/>
    <w:rsid w:val="0DCA93C9"/>
    <w:rsid w:val="0DD1E77C"/>
    <w:rsid w:val="0DF46420"/>
    <w:rsid w:val="0E21F29F"/>
    <w:rsid w:val="0E34D07A"/>
    <w:rsid w:val="0E50137E"/>
    <w:rsid w:val="0E55AB9D"/>
    <w:rsid w:val="0E7139EF"/>
    <w:rsid w:val="0E9B22E7"/>
    <w:rsid w:val="0EAE183F"/>
    <w:rsid w:val="0EC45F54"/>
    <w:rsid w:val="0F057F8C"/>
    <w:rsid w:val="0F1373EB"/>
    <w:rsid w:val="0F172DFC"/>
    <w:rsid w:val="0F1F4288"/>
    <w:rsid w:val="0F283FD9"/>
    <w:rsid w:val="0F28A774"/>
    <w:rsid w:val="0F39023C"/>
    <w:rsid w:val="0F439D25"/>
    <w:rsid w:val="0F49D245"/>
    <w:rsid w:val="0FAD6607"/>
    <w:rsid w:val="0FCCBDA9"/>
    <w:rsid w:val="0FD6709C"/>
    <w:rsid w:val="1016847C"/>
    <w:rsid w:val="101DBEDA"/>
    <w:rsid w:val="1036F348"/>
    <w:rsid w:val="1038B00E"/>
    <w:rsid w:val="10575FA5"/>
    <w:rsid w:val="109E63F1"/>
    <w:rsid w:val="10A3930D"/>
    <w:rsid w:val="10B3866B"/>
    <w:rsid w:val="10CF2AB1"/>
    <w:rsid w:val="10DF6D86"/>
    <w:rsid w:val="10E1992B"/>
    <w:rsid w:val="10FD5EAA"/>
    <w:rsid w:val="10FECB03"/>
    <w:rsid w:val="11260E5B"/>
    <w:rsid w:val="11C0A80A"/>
    <w:rsid w:val="11D0C801"/>
    <w:rsid w:val="11FDB42D"/>
    <w:rsid w:val="1226A35E"/>
    <w:rsid w:val="12440437"/>
    <w:rsid w:val="124B14AD"/>
    <w:rsid w:val="124C31FC"/>
    <w:rsid w:val="12896778"/>
    <w:rsid w:val="129563F9"/>
    <w:rsid w:val="12C67F15"/>
    <w:rsid w:val="12DF0573"/>
    <w:rsid w:val="130E115E"/>
    <w:rsid w:val="132384A1"/>
    <w:rsid w:val="139FE023"/>
    <w:rsid w:val="13B366CC"/>
    <w:rsid w:val="13DC43F8"/>
    <w:rsid w:val="13EBAA22"/>
    <w:rsid w:val="141A9176"/>
    <w:rsid w:val="144A3963"/>
    <w:rsid w:val="14688758"/>
    <w:rsid w:val="14D20523"/>
    <w:rsid w:val="1538E99D"/>
    <w:rsid w:val="15505654"/>
    <w:rsid w:val="1554CEDC"/>
    <w:rsid w:val="156539AE"/>
    <w:rsid w:val="157E7761"/>
    <w:rsid w:val="158F1B63"/>
    <w:rsid w:val="15B913C9"/>
    <w:rsid w:val="15C51D2B"/>
    <w:rsid w:val="15E9F82A"/>
    <w:rsid w:val="15EC4E94"/>
    <w:rsid w:val="15FF3221"/>
    <w:rsid w:val="160590E2"/>
    <w:rsid w:val="161F7645"/>
    <w:rsid w:val="164DD074"/>
    <w:rsid w:val="16D12550"/>
    <w:rsid w:val="16E0A7F3"/>
    <w:rsid w:val="1719EFA5"/>
    <w:rsid w:val="1754E178"/>
    <w:rsid w:val="17653801"/>
    <w:rsid w:val="176C4FDA"/>
    <w:rsid w:val="176CA02E"/>
    <w:rsid w:val="17881EF5"/>
    <w:rsid w:val="17D8B2D0"/>
    <w:rsid w:val="17E5DBB0"/>
    <w:rsid w:val="17E61B76"/>
    <w:rsid w:val="1865F605"/>
    <w:rsid w:val="187E3329"/>
    <w:rsid w:val="18E6A21D"/>
    <w:rsid w:val="18F81184"/>
    <w:rsid w:val="19588318"/>
    <w:rsid w:val="195F28BA"/>
    <w:rsid w:val="19968CAB"/>
    <w:rsid w:val="1998D2B8"/>
    <w:rsid w:val="199D725D"/>
    <w:rsid w:val="19C045EF"/>
    <w:rsid w:val="19EF471B"/>
    <w:rsid w:val="1A0711FB"/>
    <w:rsid w:val="1A304CBA"/>
    <w:rsid w:val="1A314CF6"/>
    <w:rsid w:val="1A39972A"/>
    <w:rsid w:val="1A649193"/>
    <w:rsid w:val="1A6A5E68"/>
    <w:rsid w:val="1A8965A4"/>
    <w:rsid w:val="1A8BF529"/>
    <w:rsid w:val="1AFAF91B"/>
    <w:rsid w:val="1B0075A7"/>
    <w:rsid w:val="1B0CC704"/>
    <w:rsid w:val="1B5847B7"/>
    <w:rsid w:val="1B67323F"/>
    <w:rsid w:val="1B6985FC"/>
    <w:rsid w:val="1B69CFEA"/>
    <w:rsid w:val="1B883C50"/>
    <w:rsid w:val="1BA1E0F8"/>
    <w:rsid w:val="1BCDA62B"/>
    <w:rsid w:val="1BE85E72"/>
    <w:rsid w:val="1BE86083"/>
    <w:rsid w:val="1C417DAA"/>
    <w:rsid w:val="1C6B2FD1"/>
    <w:rsid w:val="1C76AFA7"/>
    <w:rsid w:val="1C7A55C4"/>
    <w:rsid w:val="1C8B4323"/>
    <w:rsid w:val="1C9C4608"/>
    <w:rsid w:val="1CB3B295"/>
    <w:rsid w:val="1CB562D2"/>
    <w:rsid w:val="1CFB72E7"/>
    <w:rsid w:val="1D035AB1"/>
    <w:rsid w:val="1D1004BB"/>
    <w:rsid w:val="1D3990A9"/>
    <w:rsid w:val="1D46C269"/>
    <w:rsid w:val="1D49521F"/>
    <w:rsid w:val="1D63BE9C"/>
    <w:rsid w:val="1DAB1320"/>
    <w:rsid w:val="1DC422FC"/>
    <w:rsid w:val="1DD6648A"/>
    <w:rsid w:val="1DDBE1B2"/>
    <w:rsid w:val="1DF9092F"/>
    <w:rsid w:val="1E1EBABF"/>
    <w:rsid w:val="1E39C7B2"/>
    <w:rsid w:val="1E4F82F6"/>
    <w:rsid w:val="1E513333"/>
    <w:rsid w:val="1E61FFD7"/>
    <w:rsid w:val="1EBE3393"/>
    <w:rsid w:val="1EC15AC1"/>
    <w:rsid w:val="1ED3B012"/>
    <w:rsid w:val="1EEBB9D8"/>
    <w:rsid w:val="1F32A28A"/>
    <w:rsid w:val="1F4030C1"/>
    <w:rsid w:val="1F468879"/>
    <w:rsid w:val="1F50EE2D"/>
    <w:rsid w:val="1F51066C"/>
    <w:rsid w:val="1F5AABB8"/>
    <w:rsid w:val="1F5CFC46"/>
    <w:rsid w:val="1F872A07"/>
    <w:rsid w:val="1FA509A7"/>
    <w:rsid w:val="1FB541E1"/>
    <w:rsid w:val="1FD3E6CA"/>
    <w:rsid w:val="2005728F"/>
    <w:rsid w:val="201162CB"/>
    <w:rsid w:val="201E295C"/>
    <w:rsid w:val="2022A1E4"/>
    <w:rsid w:val="20296055"/>
    <w:rsid w:val="203C16FD"/>
    <w:rsid w:val="205BA688"/>
    <w:rsid w:val="207ADBE0"/>
    <w:rsid w:val="2080AEFD"/>
    <w:rsid w:val="20EA680C"/>
    <w:rsid w:val="20F39C7C"/>
    <w:rsid w:val="213656ED"/>
    <w:rsid w:val="2197FE15"/>
    <w:rsid w:val="21A8840B"/>
    <w:rsid w:val="21B31E5D"/>
    <w:rsid w:val="21C49C1C"/>
    <w:rsid w:val="21FD63AF"/>
    <w:rsid w:val="2221379C"/>
    <w:rsid w:val="2228BEF6"/>
    <w:rsid w:val="2260F0E3"/>
    <w:rsid w:val="226426C6"/>
    <w:rsid w:val="226D681C"/>
    <w:rsid w:val="228784B5"/>
    <w:rsid w:val="229332B1"/>
    <w:rsid w:val="2295DBFC"/>
    <w:rsid w:val="22AF52D5"/>
    <w:rsid w:val="22B2D2B8"/>
    <w:rsid w:val="22B358AC"/>
    <w:rsid w:val="22F41078"/>
    <w:rsid w:val="232771D8"/>
    <w:rsid w:val="23380E16"/>
    <w:rsid w:val="23432DA5"/>
    <w:rsid w:val="234A83ED"/>
    <w:rsid w:val="24043D81"/>
    <w:rsid w:val="2409387D"/>
    <w:rsid w:val="240F7620"/>
    <w:rsid w:val="241A3C23"/>
    <w:rsid w:val="2420D62D"/>
    <w:rsid w:val="242E7FC3"/>
    <w:rsid w:val="247641B6"/>
    <w:rsid w:val="247ADFD5"/>
    <w:rsid w:val="247FCCA7"/>
    <w:rsid w:val="248895F2"/>
    <w:rsid w:val="24D63468"/>
    <w:rsid w:val="24DBFA9B"/>
    <w:rsid w:val="24DF7E3D"/>
    <w:rsid w:val="24F1E91A"/>
    <w:rsid w:val="24F6DA8A"/>
    <w:rsid w:val="251BDC14"/>
    <w:rsid w:val="2535B059"/>
    <w:rsid w:val="25438DD4"/>
    <w:rsid w:val="254C2D70"/>
    <w:rsid w:val="259344A4"/>
    <w:rsid w:val="25CC3DCA"/>
    <w:rsid w:val="25EF010D"/>
    <w:rsid w:val="260308CA"/>
    <w:rsid w:val="26103CDC"/>
    <w:rsid w:val="26121217"/>
    <w:rsid w:val="262C61AB"/>
    <w:rsid w:val="262C6EE4"/>
    <w:rsid w:val="26467CEB"/>
    <w:rsid w:val="26660778"/>
    <w:rsid w:val="26B16C1B"/>
    <w:rsid w:val="26D132FE"/>
    <w:rsid w:val="27005677"/>
    <w:rsid w:val="2751DCE5"/>
    <w:rsid w:val="2767372F"/>
    <w:rsid w:val="2768840E"/>
    <w:rsid w:val="2782C3F8"/>
    <w:rsid w:val="27AB6F68"/>
    <w:rsid w:val="27B75F89"/>
    <w:rsid w:val="27E167A2"/>
    <w:rsid w:val="27F53721"/>
    <w:rsid w:val="2801D7D9"/>
    <w:rsid w:val="2803ED00"/>
    <w:rsid w:val="280F8D99"/>
    <w:rsid w:val="284D9010"/>
    <w:rsid w:val="28537CD6"/>
    <w:rsid w:val="28583C01"/>
    <w:rsid w:val="285D5E8E"/>
    <w:rsid w:val="285E1AD5"/>
    <w:rsid w:val="285ECAE7"/>
    <w:rsid w:val="288C04C6"/>
    <w:rsid w:val="2893A6ED"/>
    <w:rsid w:val="2893AE68"/>
    <w:rsid w:val="28C05C73"/>
    <w:rsid w:val="28D984D0"/>
    <w:rsid w:val="28EDC0B7"/>
    <w:rsid w:val="290BB5F6"/>
    <w:rsid w:val="29473FC9"/>
    <w:rsid w:val="294A9DA2"/>
    <w:rsid w:val="295DB411"/>
    <w:rsid w:val="297AC910"/>
    <w:rsid w:val="297D3803"/>
    <w:rsid w:val="299FBD61"/>
    <w:rsid w:val="29AB1491"/>
    <w:rsid w:val="29D8628E"/>
    <w:rsid w:val="29E96071"/>
    <w:rsid w:val="2A1B76D2"/>
    <w:rsid w:val="2A2376CF"/>
    <w:rsid w:val="2A4C8FED"/>
    <w:rsid w:val="2A661C46"/>
    <w:rsid w:val="2A6C02C8"/>
    <w:rsid w:val="2A9755AE"/>
    <w:rsid w:val="2AAD9714"/>
    <w:rsid w:val="2AC65E13"/>
    <w:rsid w:val="2AC7C8EC"/>
    <w:rsid w:val="2AE376EC"/>
    <w:rsid w:val="2AFBA43B"/>
    <w:rsid w:val="2B52B469"/>
    <w:rsid w:val="2B94FF50"/>
    <w:rsid w:val="2B966BA9"/>
    <w:rsid w:val="2BA1FB2F"/>
    <w:rsid w:val="2BC63C71"/>
    <w:rsid w:val="2BD5EC2E"/>
    <w:rsid w:val="2BF2E550"/>
    <w:rsid w:val="2BF59699"/>
    <w:rsid w:val="2C7F9C30"/>
    <w:rsid w:val="2C8CD371"/>
    <w:rsid w:val="2C9AB49C"/>
    <w:rsid w:val="2CA0A436"/>
    <w:rsid w:val="2D2E4B8E"/>
    <w:rsid w:val="2D4CE4E4"/>
    <w:rsid w:val="2D78132A"/>
    <w:rsid w:val="2D7F7629"/>
    <w:rsid w:val="2DB134FB"/>
    <w:rsid w:val="2DDCACAE"/>
    <w:rsid w:val="2DE60BFA"/>
    <w:rsid w:val="2E5EFB44"/>
    <w:rsid w:val="2E661A64"/>
    <w:rsid w:val="2E91C8E4"/>
    <w:rsid w:val="2EBCD194"/>
    <w:rsid w:val="2ECE0C6B"/>
    <w:rsid w:val="2EE8B545"/>
    <w:rsid w:val="2EE9C78F"/>
    <w:rsid w:val="2F1F8919"/>
    <w:rsid w:val="2F264B8E"/>
    <w:rsid w:val="2F36F7D7"/>
    <w:rsid w:val="2F3BC269"/>
    <w:rsid w:val="2F460737"/>
    <w:rsid w:val="2FB30CF3"/>
    <w:rsid w:val="2FC2716E"/>
    <w:rsid w:val="2FE8DF6A"/>
    <w:rsid w:val="2FF16B3A"/>
    <w:rsid w:val="30017721"/>
    <w:rsid w:val="30131900"/>
    <w:rsid w:val="301FF0EE"/>
    <w:rsid w:val="309CD4C2"/>
    <w:rsid w:val="30AC0437"/>
    <w:rsid w:val="30AFFC47"/>
    <w:rsid w:val="30BE5AA8"/>
    <w:rsid w:val="30C64048"/>
    <w:rsid w:val="30CB6E58"/>
    <w:rsid w:val="30EFDF5A"/>
    <w:rsid w:val="31481962"/>
    <w:rsid w:val="31765167"/>
    <w:rsid w:val="3191A6E9"/>
    <w:rsid w:val="31A8BA1F"/>
    <w:rsid w:val="31B346DD"/>
    <w:rsid w:val="31B90C48"/>
    <w:rsid w:val="31CC646C"/>
    <w:rsid w:val="31E79D61"/>
    <w:rsid w:val="31EAC9FB"/>
    <w:rsid w:val="31F2BA1D"/>
    <w:rsid w:val="320440D4"/>
    <w:rsid w:val="3205AD2D"/>
    <w:rsid w:val="320C2856"/>
    <w:rsid w:val="320E3CC3"/>
    <w:rsid w:val="32397E64"/>
    <w:rsid w:val="32855886"/>
    <w:rsid w:val="32D4D9FB"/>
    <w:rsid w:val="33478975"/>
    <w:rsid w:val="338464B5"/>
    <w:rsid w:val="339042B7"/>
    <w:rsid w:val="339FC2B9"/>
    <w:rsid w:val="33A84150"/>
    <w:rsid w:val="33C72B91"/>
    <w:rsid w:val="33CAB635"/>
    <w:rsid w:val="33D0F596"/>
    <w:rsid w:val="33DDA103"/>
    <w:rsid w:val="33EA1B7F"/>
    <w:rsid w:val="33F90E17"/>
    <w:rsid w:val="33FA7A6E"/>
    <w:rsid w:val="34537E18"/>
    <w:rsid w:val="345A85B8"/>
    <w:rsid w:val="346E82F9"/>
    <w:rsid w:val="34772AB3"/>
    <w:rsid w:val="347B2AA9"/>
    <w:rsid w:val="347D63BA"/>
    <w:rsid w:val="3493D428"/>
    <w:rsid w:val="34B36739"/>
    <w:rsid w:val="34B5145A"/>
    <w:rsid w:val="34C96A6D"/>
    <w:rsid w:val="34DCD5CA"/>
    <w:rsid w:val="34E7F10A"/>
    <w:rsid w:val="34F3D5F7"/>
    <w:rsid w:val="35029E74"/>
    <w:rsid w:val="35203516"/>
    <w:rsid w:val="35357598"/>
    <w:rsid w:val="3536646E"/>
    <w:rsid w:val="354029B2"/>
    <w:rsid w:val="354B8667"/>
    <w:rsid w:val="356B367D"/>
    <w:rsid w:val="35797164"/>
    <w:rsid w:val="358BD020"/>
    <w:rsid w:val="35B9FB99"/>
    <w:rsid w:val="35C58977"/>
    <w:rsid w:val="35F95341"/>
    <w:rsid w:val="35FF87BF"/>
    <w:rsid w:val="3628CD42"/>
    <w:rsid w:val="363AE258"/>
    <w:rsid w:val="36612E0B"/>
    <w:rsid w:val="3695FD8D"/>
    <w:rsid w:val="36B7DD76"/>
    <w:rsid w:val="36BB0E84"/>
    <w:rsid w:val="36BE3B1E"/>
    <w:rsid w:val="36D91E50"/>
    <w:rsid w:val="36EA7DF6"/>
    <w:rsid w:val="37131BFA"/>
    <w:rsid w:val="3714B8F1"/>
    <w:rsid w:val="37206A30"/>
    <w:rsid w:val="3743FE28"/>
    <w:rsid w:val="3772BA06"/>
    <w:rsid w:val="378F8757"/>
    <w:rsid w:val="378FDD06"/>
    <w:rsid w:val="37AF16AE"/>
    <w:rsid w:val="37B5047C"/>
    <w:rsid w:val="37C19332"/>
    <w:rsid w:val="37D65363"/>
    <w:rsid w:val="37F5647A"/>
    <w:rsid w:val="382082BE"/>
    <w:rsid w:val="384AF64B"/>
    <w:rsid w:val="384D3BE5"/>
    <w:rsid w:val="385A0B7F"/>
    <w:rsid w:val="38872D8D"/>
    <w:rsid w:val="389EA0D8"/>
    <w:rsid w:val="389EAC6B"/>
    <w:rsid w:val="38CB285F"/>
    <w:rsid w:val="38E0D1E5"/>
    <w:rsid w:val="390952F7"/>
    <w:rsid w:val="3911FE91"/>
    <w:rsid w:val="393CFEBD"/>
    <w:rsid w:val="39443B36"/>
    <w:rsid w:val="394D832E"/>
    <w:rsid w:val="394DB829"/>
    <w:rsid w:val="39683FA0"/>
    <w:rsid w:val="397A3370"/>
    <w:rsid w:val="399134DB"/>
    <w:rsid w:val="3998CECD"/>
    <w:rsid w:val="39C9264E"/>
    <w:rsid w:val="39CD9E4F"/>
    <w:rsid w:val="39DC58FF"/>
    <w:rsid w:val="39E6C6AC"/>
    <w:rsid w:val="3A17403F"/>
    <w:rsid w:val="3A18AC98"/>
    <w:rsid w:val="3A2C7A36"/>
    <w:rsid w:val="3A34746F"/>
    <w:rsid w:val="3A449049"/>
    <w:rsid w:val="3A4CE287"/>
    <w:rsid w:val="3A560889"/>
    <w:rsid w:val="3A6B8770"/>
    <w:rsid w:val="3A741921"/>
    <w:rsid w:val="3A749B33"/>
    <w:rsid w:val="3AA52358"/>
    <w:rsid w:val="3AD8760A"/>
    <w:rsid w:val="3AF3472E"/>
    <w:rsid w:val="3B028D90"/>
    <w:rsid w:val="3B1D33AD"/>
    <w:rsid w:val="3B4C174E"/>
    <w:rsid w:val="3B64F6AF"/>
    <w:rsid w:val="3B696EB0"/>
    <w:rsid w:val="3B8D3EEF"/>
    <w:rsid w:val="3B9B549C"/>
    <w:rsid w:val="3BA19F8E"/>
    <w:rsid w:val="3BBAC7EB"/>
    <w:rsid w:val="3BC7384D"/>
    <w:rsid w:val="3BD48A2F"/>
    <w:rsid w:val="3BDC498F"/>
    <w:rsid w:val="3C2DF50C"/>
    <w:rsid w:val="3C341CBF"/>
    <w:rsid w:val="3C4ABF03"/>
    <w:rsid w:val="3C93144D"/>
    <w:rsid w:val="3CE1F267"/>
    <w:rsid w:val="3D094802"/>
    <w:rsid w:val="3D0CCC50"/>
    <w:rsid w:val="3D20AD08"/>
    <w:rsid w:val="3D2BD6EC"/>
    <w:rsid w:val="3D641AF8"/>
    <w:rsid w:val="3D7D4355"/>
    <w:rsid w:val="3DB65482"/>
    <w:rsid w:val="3DDACE4B"/>
    <w:rsid w:val="3E106FE0"/>
    <w:rsid w:val="3E56CBA1"/>
    <w:rsid w:val="3E5F0F9A"/>
    <w:rsid w:val="3E77A8F9"/>
    <w:rsid w:val="3E99E4D6"/>
    <w:rsid w:val="3EA51863"/>
    <w:rsid w:val="3F46E619"/>
    <w:rsid w:val="3F5F93B5"/>
    <w:rsid w:val="3F68E201"/>
    <w:rsid w:val="3F799F52"/>
    <w:rsid w:val="3FAD8FF4"/>
    <w:rsid w:val="3FB23B07"/>
    <w:rsid w:val="3FE55DA6"/>
    <w:rsid w:val="3FF29C02"/>
    <w:rsid w:val="4030324B"/>
    <w:rsid w:val="4044CD59"/>
    <w:rsid w:val="40651D64"/>
    <w:rsid w:val="407210A7"/>
    <w:rsid w:val="40FE492D"/>
    <w:rsid w:val="4106C111"/>
    <w:rsid w:val="414C10BD"/>
    <w:rsid w:val="4186D746"/>
    <w:rsid w:val="419A1BB1"/>
    <w:rsid w:val="41AA2F0E"/>
    <w:rsid w:val="41B2DA4F"/>
    <w:rsid w:val="41DCB925"/>
    <w:rsid w:val="41E03D73"/>
    <w:rsid w:val="41F41E2B"/>
    <w:rsid w:val="41F876CB"/>
    <w:rsid w:val="41FEB81E"/>
    <w:rsid w:val="4214E776"/>
    <w:rsid w:val="4250B478"/>
    <w:rsid w:val="4254EE62"/>
    <w:rsid w:val="42722983"/>
    <w:rsid w:val="427A30BD"/>
    <w:rsid w:val="429F1235"/>
    <w:rsid w:val="42B190D3"/>
    <w:rsid w:val="42B2B44D"/>
    <w:rsid w:val="42CCDF42"/>
    <w:rsid w:val="42F65BA5"/>
    <w:rsid w:val="42F7B723"/>
    <w:rsid w:val="4321D2C6"/>
    <w:rsid w:val="43472F6B"/>
    <w:rsid w:val="43788986"/>
    <w:rsid w:val="4392A7E9"/>
    <w:rsid w:val="43A709A5"/>
    <w:rsid w:val="4413B54C"/>
    <w:rsid w:val="4416011E"/>
    <w:rsid w:val="44165FF2"/>
    <w:rsid w:val="4459F05B"/>
    <w:rsid w:val="4486EDDD"/>
    <w:rsid w:val="448F4225"/>
    <w:rsid w:val="44C4D39D"/>
    <w:rsid w:val="44CD46E4"/>
    <w:rsid w:val="44EDAF86"/>
    <w:rsid w:val="4519D693"/>
    <w:rsid w:val="45640716"/>
    <w:rsid w:val="45851166"/>
    <w:rsid w:val="45C5A6A4"/>
    <w:rsid w:val="460413E9"/>
    <w:rsid w:val="4635F9D5"/>
    <w:rsid w:val="465DCCE5"/>
    <w:rsid w:val="465DDD17"/>
    <w:rsid w:val="465F6019"/>
    <w:rsid w:val="468362B6"/>
    <w:rsid w:val="468EC9F5"/>
    <w:rsid w:val="46A312BE"/>
    <w:rsid w:val="46CC26F2"/>
    <w:rsid w:val="46DE0743"/>
    <w:rsid w:val="46E1206F"/>
    <w:rsid w:val="46F22EF0"/>
    <w:rsid w:val="46F89AFE"/>
    <w:rsid w:val="4709E48D"/>
    <w:rsid w:val="470AFD3E"/>
    <w:rsid w:val="4724259B"/>
    <w:rsid w:val="476A7E03"/>
    <w:rsid w:val="479E2AE6"/>
    <w:rsid w:val="47A00E02"/>
    <w:rsid w:val="47D81528"/>
    <w:rsid w:val="47F302AF"/>
    <w:rsid w:val="485F0D2F"/>
    <w:rsid w:val="4873DBD0"/>
    <w:rsid w:val="487F0C2F"/>
    <w:rsid w:val="489193A8"/>
    <w:rsid w:val="48B810D9"/>
    <w:rsid w:val="49440AAD"/>
    <w:rsid w:val="4954723A"/>
    <w:rsid w:val="496A59D4"/>
    <w:rsid w:val="49703F6C"/>
    <w:rsid w:val="49A019BD"/>
    <w:rsid w:val="49A326A3"/>
    <w:rsid w:val="49BCA215"/>
    <w:rsid w:val="49C0756F"/>
    <w:rsid w:val="49F672C1"/>
    <w:rsid w:val="4A41933D"/>
    <w:rsid w:val="4A52F4C8"/>
    <w:rsid w:val="4A5F8DCC"/>
    <w:rsid w:val="4AC47935"/>
    <w:rsid w:val="4AC931DF"/>
    <w:rsid w:val="4AD06A29"/>
    <w:rsid w:val="4B1EEC35"/>
    <w:rsid w:val="4B6A730E"/>
    <w:rsid w:val="4BA0CED2"/>
    <w:rsid w:val="4BCA381F"/>
    <w:rsid w:val="4C07EAA6"/>
    <w:rsid w:val="4C2D63C4"/>
    <w:rsid w:val="4C3D1086"/>
    <w:rsid w:val="4C51EFAB"/>
    <w:rsid w:val="4C7F3E07"/>
    <w:rsid w:val="4C8EB7D1"/>
    <w:rsid w:val="4CF0F7C9"/>
    <w:rsid w:val="4D4BBD16"/>
    <w:rsid w:val="4D792C78"/>
    <w:rsid w:val="4DA002C9"/>
    <w:rsid w:val="4DA9C26E"/>
    <w:rsid w:val="4DB09B85"/>
    <w:rsid w:val="4DF2A252"/>
    <w:rsid w:val="4E2E2E4F"/>
    <w:rsid w:val="4E3FE1F6"/>
    <w:rsid w:val="4E532143"/>
    <w:rsid w:val="4E7173FB"/>
    <w:rsid w:val="4E74B8D5"/>
    <w:rsid w:val="4E8E89BD"/>
    <w:rsid w:val="4E9AAFC0"/>
    <w:rsid w:val="4EABDDA4"/>
    <w:rsid w:val="4EB5A91D"/>
    <w:rsid w:val="4EB9E384"/>
    <w:rsid w:val="4ECF4CFC"/>
    <w:rsid w:val="4ED62E14"/>
    <w:rsid w:val="4EE528AC"/>
    <w:rsid w:val="4EE9C064"/>
    <w:rsid w:val="4F150460"/>
    <w:rsid w:val="4F2BF3AC"/>
    <w:rsid w:val="4F43E186"/>
    <w:rsid w:val="4F53BF71"/>
    <w:rsid w:val="4F70E68F"/>
    <w:rsid w:val="4F8D55D1"/>
    <w:rsid w:val="4FBD6568"/>
    <w:rsid w:val="4FC9FEB0"/>
    <w:rsid w:val="4FD7CA58"/>
    <w:rsid w:val="4FEF976F"/>
    <w:rsid w:val="4FFE7704"/>
    <w:rsid w:val="5004669D"/>
    <w:rsid w:val="500E55AB"/>
    <w:rsid w:val="502B359C"/>
    <w:rsid w:val="502FB6F3"/>
    <w:rsid w:val="50398B61"/>
    <w:rsid w:val="50590238"/>
    <w:rsid w:val="50A375A6"/>
    <w:rsid w:val="50A8D628"/>
    <w:rsid w:val="50C6F6B3"/>
    <w:rsid w:val="50EFA492"/>
    <w:rsid w:val="50FAA38B"/>
    <w:rsid w:val="510B128C"/>
    <w:rsid w:val="5120F0AB"/>
    <w:rsid w:val="518D0CCA"/>
    <w:rsid w:val="51935245"/>
    <w:rsid w:val="51935556"/>
    <w:rsid w:val="51AB595B"/>
    <w:rsid w:val="51B1E20F"/>
    <w:rsid w:val="51C62A7F"/>
    <w:rsid w:val="51DB9ECE"/>
    <w:rsid w:val="51E03CF0"/>
    <w:rsid w:val="520F7F13"/>
    <w:rsid w:val="523875EE"/>
    <w:rsid w:val="5262F638"/>
    <w:rsid w:val="52A6E2ED"/>
    <w:rsid w:val="531AC7CF"/>
    <w:rsid w:val="5361FAE0"/>
    <w:rsid w:val="537423F5"/>
    <w:rsid w:val="53BEC7D8"/>
    <w:rsid w:val="53E87583"/>
    <w:rsid w:val="53F7B734"/>
    <w:rsid w:val="5407AF43"/>
    <w:rsid w:val="5415180D"/>
    <w:rsid w:val="54306F73"/>
    <w:rsid w:val="543B5D40"/>
    <w:rsid w:val="54867C04"/>
    <w:rsid w:val="54B4EA68"/>
    <w:rsid w:val="54DAECE0"/>
    <w:rsid w:val="54E90F79"/>
    <w:rsid w:val="550F4337"/>
    <w:rsid w:val="55546A30"/>
    <w:rsid w:val="558E39F8"/>
    <w:rsid w:val="55AF9B0F"/>
    <w:rsid w:val="55B591FD"/>
    <w:rsid w:val="55FC7E0C"/>
    <w:rsid w:val="5603F180"/>
    <w:rsid w:val="561BF19A"/>
    <w:rsid w:val="5638A64D"/>
    <w:rsid w:val="564A62CA"/>
    <w:rsid w:val="56897990"/>
    <w:rsid w:val="56BAF00E"/>
    <w:rsid w:val="56CC7841"/>
    <w:rsid w:val="56D506DC"/>
    <w:rsid w:val="56F76821"/>
    <w:rsid w:val="571DDD34"/>
    <w:rsid w:val="57212108"/>
    <w:rsid w:val="5784A706"/>
    <w:rsid w:val="57A0E79D"/>
    <w:rsid w:val="57B4AD9F"/>
    <w:rsid w:val="57D56376"/>
    <w:rsid w:val="57EC9AC3"/>
    <w:rsid w:val="57FBBB9E"/>
    <w:rsid w:val="57FBFF82"/>
    <w:rsid w:val="58212393"/>
    <w:rsid w:val="5866C0F5"/>
    <w:rsid w:val="5876E3D0"/>
    <w:rsid w:val="58A4759A"/>
    <w:rsid w:val="58B27CAF"/>
    <w:rsid w:val="58CCD41B"/>
    <w:rsid w:val="590A2EF2"/>
    <w:rsid w:val="5914AD3A"/>
    <w:rsid w:val="59174A56"/>
    <w:rsid w:val="59376A61"/>
    <w:rsid w:val="593EA345"/>
    <w:rsid w:val="596A9604"/>
    <w:rsid w:val="596C7719"/>
    <w:rsid w:val="596FF479"/>
    <w:rsid w:val="5972FC41"/>
    <w:rsid w:val="59A3CB97"/>
    <w:rsid w:val="59A6AB34"/>
    <w:rsid w:val="59C50D4B"/>
    <w:rsid w:val="5A58C1CA"/>
    <w:rsid w:val="5A6BB27D"/>
    <w:rsid w:val="5AA22B7D"/>
    <w:rsid w:val="5AB4268C"/>
    <w:rsid w:val="5AF3DBDB"/>
    <w:rsid w:val="5B1E2269"/>
    <w:rsid w:val="5B2AB8A6"/>
    <w:rsid w:val="5B3E1ADF"/>
    <w:rsid w:val="5B4811F9"/>
    <w:rsid w:val="5B4DA10C"/>
    <w:rsid w:val="5B533BDD"/>
    <w:rsid w:val="5B5FE4C4"/>
    <w:rsid w:val="5B88D2BA"/>
    <w:rsid w:val="5BA98C64"/>
    <w:rsid w:val="5BB072D1"/>
    <w:rsid w:val="5BB99BF1"/>
    <w:rsid w:val="5BC3CB6B"/>
    <w:rsid w:val="5C13F3C5"/>
    <w:rsid w:val="5C1637C0"/>
    <w:rsid w:val="5C3ADC37"/>
    <w:rsid w:val="5C436EDE"/>
    <w:rsid w:val="5C52F978"/>
    <w:rsid w:val="5C764407"/>
    <w:rsid w:val="5C8FAC3C"/>
    <w:rsid w:val="5C9658C4"/>
    <w:rsid w:val="5CCF70A5"/>
    <w:rsid w:val="5D3DCFB4"/>
    <w:rsid w:val="5D51D7AB"/>
    <w:rsid w:val="5D5F7C15"/>
    <w:rsid w:val="5D8A8BF1"/>
    <w:rsid w:val="5D92B8F6"/>
    <w:rsid w:val="5D980418"/>
    <w:rsid w:val="5DA67E00"/>
    <w:rsid w:val="5DAEE5D2"/>
    <w:rsid w:val="5DB52E65"/>
    <w:rsid w:val="5DDF3F3F"/>
    <w:rsid w:val="5DF701CF"/>
    <w:rsid w:val="5E4C3F9F"/>
    <w:rsid w:val="5E57D6C0"/>
    <w:rsid w:val="5E696E60"/>
    <w:rsid w:val="5ECAAA1F"/>
    <w:rsid w:val="5EE243D0"/>
    <w:rsid w:val="5EFB6C2D"/>
    <w:rsid w:val="5F24F525"/>
    <w:rsid w:val="5F2737AE"/>
    <w:rsid w:val="5F2D8D38"/>
    <w:rsid w:val="5F5C7443"/>
    <w:rsid w:val="5F797076"/>
    <w:rsid w:val="5F8A50D1"/>
    <w:rsid w:val="5FC48BF6"/>
    <w:rsid w:val="5FCE8977"/>
    <w:rsid w:val="5FF14510"/>
    <w:rsid w:val="5FFBA7BC"/>
    <w:rsid w:val="6005BB39"/>
    <w:rsid w:val="602091C6"/>
    <w:rsid w:val="6036BDDB"/>
    <w:rsid w:val="604D3B63"/>
    <w:rsid w:val="604F6361"/>
    <w:rsid w:val="604F798C"/>
    <w:rsid w:val="60503736"/>
    <w:rsid w:val="60AA25C2"/>
    <w:rsid w:val="60D6A7F4"/>
    <w:rsid w:val="60D730C8"/>
    <w:rsid w:val="60E244D5"/>
    <w:rsid w:val="6106D00E"/>
    <w:rsid w:val="6109AFAB"/>
    <w:rsid w:val="611540D7"/>
    <w:rsid w:val="6131F0A9"/>
    <w:rsid w:val="613586EC"/>
    <w:rsid w:val="615F238F"/>
    <w:rsid w:val="616B6571"/>
    <w:rsid w:val="6186A167"/>
    <w:rsid w:val="6187E963"/>
    <w:rsid w:val="61AEDD7C"/>
    <w:rsid w:val="61BD3D32"/>
    <w:rsid w:val="61DC8532"/>
    <w:rsid w:val="61E43BCF"/>
    <w:rsid w:val="61F9B01E"/>
    <w:rsid w:val="62021EA9"/>
    <w:rsid w:val="6219E492"/>
    <w:rsid w:val="62247919"/>
    <w:rsid w:val="6252E754"/>
    <w:rsid w:val="627008AF"/>
    <w:rsid w:val="6272DCFC"/>
    <w:rsid w:val="628CE48F"/>
    <w:rsid w:val="629D3C13"/>
    <w:rsid w:val="62B2199D"/>
    <w:rsid w:val="62B7E94C"/>
    <w:rsid w:val="62CC5D2E"/>
    <w:rsid w:val="630E7E81"/>
    <w:rsid w:val="6317B593"/>
    <w:rsid w:val="6350F8CF"/>
    <w:rsid w:val="63855D72"/>
    <w:rsid w:val="63C9612B"/>
    <w:rsid w:val="63D0F28D"/>
    <w:rsid w:val="63EEB7B5"/>
    <w:rsid w:val="6435B64F"/>
    <w:rsid w:val="6441506D"/>
    <w:rsid w:val="64526AC4"/>
    <w:rsid w:val="6452B940"/>
    <w:rsid w:val="64596E90"/>
    <w:rsid w:val="6466FE5C"/>
    <w:rsid w:val="6495D6CD"/>
    <w:rsid w:val="649ABE21"/>
    <w:rsid w:val="64B53631"/>
    <w:rsid w:val="64EC4503"/>
    <w:rsid w:val="64FAA699"/>
    <w:rsid w:val="65212DD3"/>
    <w:rsid w:val="652FDB8A"/>
    <w:rsid w:val="654C0FB3"/>
    <w:rsid w:val="655B575E"/>
    <w:rsid w:val="6568537C"/>
    <w:rsid w:val="65924FFE"/>
    <w:rsid w:val="65A1ADAE"/>
    <w:rsid w:val="65EA5124"/>
    <w:rsid w:val="66431D38"/>
    <w:rsid w:val="6645B881"/>
    <w:rsid w:val="6649190C"/>
    <w:rsid w:val="664F871F"/>
    <w:rsid w:val="6660D510"/>
    <w:rsid w:val="6664D555"/>
    <w:rsid w:val="669DDC0A"/>
    <w:rsid w:val="66AA632F"/>
    <w:rsid w:val="6741CFFE"/>
    <w:rsid w:val="675F767C"/>
    <w:rsid w:val="67847148"/>
    <w:rsid w:val="67C6D9A1"/>
    <w:rsid w:val="681626E2"/>
    <w:rsid w:val="6834829D"/>
    <w:rsid w:val="685FA356"/>
    <w:rsid w:val="687FE2EB"/>
    <w:rsid w:val="688FB56A"/>
    <w:rsid w:val="68945E42"/>
    <w:rsid w:val="68AD8EA0"/>
    <w:rsid w:val="68C228D8"/>
    <w:rsid w:val="68CD5E4F"/>
    <w:rsid w:val="68D8AC60"/>
    <w:rsid w:val="68DEF752"/>
    <w:rsid w:val="68EC0FB8"/>
    <w:rsid w:val="6907D1F6"/>
    <w:rsid w:val="6918C7C7"/>
    <w:rsid w:val="692041A9"/>
    <w:rsid w:val="69262A63"/>
    <w:rsid w:val="6929EB87"/>
    <w:rsid w:val="6939B476"/>
    <w:rsid w:val="694DD2A5"/>
    <w:rsid w:val="697DC005"/>
    <w:rsid w:val="69B59D4F"/>
    <w:rsid w:val="69C3D1BB"/>
    <w:rsid w:val="69F8B49A"/>
    <w:rsid w:val="6A32ACC6"/>
    <w:rsid w:val="6A3B0464"/>
    <w:rsid w:val="6A7AC7B3"/>
    <w:rsid w:val="6A7DEEE1"/>
    <w:rsid w:val="6A94509A"/>
    <w:rsid w:val="6A961CB1"/>
    <w:rsid w:val="6AD584D7"/>
    <w:rsid w:val="6AEF36AA"/>
    <w:rsid w:val="6AF4009F"/>
    <w:rsid w:val="6B16173A"/>
    <w:rsid w:val="6B47F168"/>
    <w:rsid w:val="6B48477A"/>
    <w:rsid w:val="6B59C451"/>
    <w:rsid w:val="6B68915D"/>
    <w:rsid w:val="6B77528D"/>
    <w:rsid w:val="6BADB55F"/>
    <w:rsid w:val="6BB15E53"/>
    <w:rsid w:val="6BD3E21C"/>
    <w:rsid w:val="6BE0ACD0"/>
    <w:rsid w:val="6BE0EDA3"/>
    <w:rsid w:val="6BF6374A"/>
    <w:rsid w:val="6BF97B1E"/>
    <w:rsid w:val="6BFF124B"/>
    <w:rsid w:val="6C175B87"/>
    <w:rsid w:val="6C4272A4"/>
    <w:rsid w:val="6CC04816"/>
    <w:rsid w:val="6CE20CB7"/>
    <w:rsid w:val="6D14BB5A"/>
    <w:rsid w:val="6D4C524E"/>
    <w:rsid w:val="6DA8FE3B"/>
    <w:rsid w:val="6DEBC546"/>
    <w:rsid w:val="6E2B9701"/>
    <w:rsid w:val="6E361B25"/>
    <w:rsid w:val="6E87FC28"/>
    <w:rsid w:val="6E8FF2E2"/>
    <w:rsid w:val="6E989CB0"/>
    <w:rsid w:val="6F36B9F8"/>
    <w:rsid w:val="6F49397A"/>
    <w:rsid w:val="6F56265C"/>
    <w:rsid w:val="6F6296BE"/>
    <w:rsid w:val="6F645193"/>
    <w:rsid w:val="6F70711B"/>
    <w:rsid w:val="6F7CCB32"/>
    <w:rsid w:val="6F8AD520"/>
    <w:rsid w:val="6F95BB11"/>
    <w:rsid w:val="6FAB9D8A"/>
    <w:rsid w:val="6FC602EC"/>
    <w:rsid w:val="6FD2E279"/>
    <w:rsid w:val="702522B7"/>
    <w:rsid w:val="7033FE08"/>
    <w:rsid w:val="70590219"/>
    <w:rsid w:val="705DCF6F"/>
    <w:rsid w:val="7068E43B"/>
    <w:rsid w:val="7077C607"/>
    <w:rsid w:val="707B589A"/>
    <w:rsid w:val="70A03D3B"/>
    <w:rsid w:val="70B10D87"/>
    <w:rsid w:val="70CCEC41"/>
    <w:rsid w:val="70D28A59"/>
    <w:rsid w:val="70FB7A49"/>
    <w:rsid w:val="7110F824"/>
    <w:rsid w:val="71335227"/>
    <w:rsid w:val="7150B71E"/>
    <w:rsid w:val="715FDCCE"/>
    <w:rsid w:val="71703505"/>
    <w:rsid w:val="71A786D7"/>
    <w:rsid w:val="71BF9CEA"/>
    <w:rsid w:val="71C4E9B3"/>
    <w:rsid w:val="71DDAC0E"/>
    <w:rsid w:val="72072F33"/>
    <w:rsid w:val="721728FB"/>
    <w:rsid w:val="7225ACF1"/>
    <w:rsid w:val="724F41B6"/>
    <w:rsid w:val="724FEE54"/>
    <w:rsid w:val="72680D6A"/>
    <w:rsid w:val="7280DA3C"/>
    <w:rsid w:val="729875ED"/>
    <w:rsid w:val="72B942C9"/>
    <w:rsid w:val="72C3940E"/>
    <w:rsid w:val="72C8916E"/>
    <w:rsid w:val="72CF2288"/>
    <w:rsid w:val="72E12032"/>
    <w:rsid w:val="7316072E"/>
    <w:rsid w:val="735C7F95"/>
    <w:rsid w:val="735CC379"/>
    <w:rsid w:val="736E8455"/>
    <w:rsid w:val="739B813C"/>
    <w:rsid w:val="73A2FF94"/>
    <w:rsid w:val="73C16AEE"/>
    <w:rsid w:val="73E31374"/>
    <w:rsid w:val="740D4DD7"/>
    <w:rsid w:val="741CDC73"/>
    <w:rsid w:val="74200BCA"/>
    <w:rsid w:val="7429977F"/>
    <w:rsid w:val="74616E4E"/>
    <w:rsid w:val="748990B0"/>
    <w:rsid w:val="749BEC7A"/>
    <w:rsid w:val="74D0D502"/>
    <w:rsid w:val="74ED1E9C"/>
    <w:rsid w:val="74F89E72"/>
    <w:rsid w:val="75048F8E"/>
    <w:rsid w:val="7520A3C6"/>
    <w:rsid w:val="75322CF7"/>
    <w:rsid w:val="756A6BA5"/>
    <w:rsid w:val="757EC70B"/>
    <w:rsid w:val="757EE3D5"/>
    <w:rsid w:val="75B5C30F"/>
    <w:rsid w:val="75BBDC2B"/>
    <w:rsid w:val="75F38CEE"/>
    <w:rsid w:val="7605F636"/>
    <w:rsid w:val="761461B2"/>
    <w:rsid w:val="764223FD"/>
    <w:rsid w:val="76544CF1"/>
    <w:rsid w:val="76551B72"/>
    <w:rsid w:val="76873792"/>
    <w:rsid w:val="7688FA90"/>
    <w:rsid w:val="76930E0D"/>
    <w:rsid w:val="76931594"/>
    <w:rsid w:val="76BA0534"/>
    <w:rsid w:val="76C1F2BA"/>
    <w:rsid w:val="76E3EEA2"/>
    <w:rsid w:val="77381C97"/>
    <w:rsid w:val="774014B5"/>
    <w:rsid w:val="776EBAED"/>
    <w:rsid w:val="77AB3EEC"/>
    <w:rsid w:val="77E1E228"/>
    <w:rsid w:val="78010590"/>
    <w:rsid w:val="78222C97"/>
    <w:rsid w:val="782EDE6E"/>
    <w:rsid w:val="782FF0B8"/>
    <w:rsid w:val="78303F34"/>
    <w:rsid w:val="78E8FF43"/>
    <w:rsid w:val="79002FD0"/>
    <w:rsid w:val="7928801A"/>
    <w:rsid w:val="79538686"/>
    <w:rsid w:val="797A2D72"/>
    <w:rsid w:val="79A0488A"/>
    <w:rsid w:val="79A34510"/>
    <w:rsid w:val="79B2DCA0"/>
    <w:rsid w:val="79BD573B"/>
    <w:rsid w:val="79CAB656"/>
    <w:rsid w:val="79D67016"/>
    <w:rsid w:val="79DB860B"/>
    <w:rsid w:val="79F54E71"/>
    <w:rsid w:val="79F9937C"/>
    <w:rsid w:val="7A5DE072"/>
    <w:rsid w:val="7A5F97DD"/>
    <w:rsid w:val="7A95CCB2"/>
    <w:rsid w:val="7AA54965"/>
    <w:rsid w:val="7ADA346D"/>
    <w:rsid w:val="7AE48A8D"/>
    <w:rsid w:val="7AEF56E7"/>
    <w:rsid w:val="7AFBECE0"/>
    <w:rsid w:val="7B072B74"/>
    <w:rsid w:val="7B900D21"/>
    <w:rsid w:val="7B90A25A"/>
    <w:rsid w:val="7B9563DD"/>
    <w:rsid w:val="7BA9C714"/>
    <w:rsid w:val="7BE3BEE3"/>
    <w:rsid w:val="7C2B1C8E"/>
    <w:rsid w:val="7C4119C6"/>
    <w:rsid w:val="7C54DDD8"/>
    <w:rsid w:val="7C5E8958"/>
    <w:rsid w:val="7C710406"/>
    <w:rsid w:val="7C7604CE"/>
    <w:rsid w:val="7CA79AFA"/>
    <w:rsid w:val="7CDCD9F3"/>
    <w:rsid w:val="7D024F91"/>
    <w:rsid w:val="7D0D72B7"/>
    <w:rsid w:val="7D32E587"/>
    <w:rsid w:val="7D3583E9"/>
    <w:rsid w:val="7D9221C9"/>
    <w:rsid w:val="7DAE460C"/>
    <w:rsid w:val="7DE2B326"/>
    <w:rsid w:val="7DE69282"/>
    <w:rsid w:val="7DFE64C2"/>
    <w:rsid w:val="7E0C5FA1"/>
    <w:rsid w:val="7E4D35E2"/>
    <w:rsid w:val="7E542C75"/>
    <w:rsid w:val="7E5FAB3C"/>
    <w:rsid w:val="7E723C41"/>
    <w:rsid w:val="7E754ED8"/>
    <w:rsid w:val="7E918DD2"/>
    <w:rsid w:val="7E9E1FF2"/>
    <w:rsid w:val="7EC05596"/>
    <w:rsid w:val="7ED5D82A"/>
    <w:rsid w:val="7ED99C9F"/>
    <w:rsid w:val="7EF10F36"/>
    <w:rsid w:val="7F013211"/>
    <w:rsid w:val="7F363153"/>
    <w:rsid w:val="7F64B362"/>
    <w:rsid w:val="7F66A144"/>
    <w:rsid w:val="7F78BA88"/>
    <w:rsid w:val="7FA35B25"/>
    <w:rsid w:val="7FBCE41D"/>
    <w:rsid w:val="7FBFA33A"/>
    <w:rsid w:val="7FD1838B"/>
    <w:rsid w:val="7FE90643"/>
    <w:rsid w:val="7FFBE3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28BCD2"/>
  <w15:docId w15:val="{B7AE0EFE-DCD3-4038-88DC-40C8DF80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7110F824"/>
    <w:pPr>
      <w:spacing w:after="0"/>
    </w:pPr>
    <w:rPr>
      <w:rFonts w:ascii="Times New Roman" w:eastAsia="Times New Roman" w:hAnsi="Times New Roman" w:cs="Times New Roman"/>
      <w:sz w:val="24"/>
      <w:szCs w:val="24"/>
      <w:lang w:val="cs-CZ" w:eastAsia="en-US"/>
    </w:rPr>
  </w:style>
  <w:style w:type="paragraph" w:styleId="Nadpis1">
    <w:name w:val="heading 1"/>
    <w:basedOn w:val="Normln"/>
    <w:next w:val="Normln"/>
    <w:link w:val="Nadpis1Char"/>
    <w:uiPriority w:val="1"/>
    <w:rsid w:val="7110F824"/>
    <w:pPr>
      <w:keepNext/>
      <w:jc w:val="both"/>
      <w:outlineLvl w:val="0"/>
    </w:pPr>
    <w:rPr>
      <w:rFonts w:ascii="Futura Bk BT" w:hAnsi="Futura Bk BT"/>
      <w:b/>
      <w:bCs/>
      <w:color w:val="999999"/>
      <w:sz w:val="20"/>
      <w:szCs w:val="20"/>
    </w:rPr>
  </w:style>
  <w:style w:type="paragraph" w:styleId="Nadpis2">
    <w:name w:val="heading 2"/>
    <w:basedOn w:val="Normln"/>
    <w:next w:val="Normln"/>
    <w:link w:val="Nadpis2Char"/>
    <w:uiPriority w:val="9"/>
    <w:semiHidden/>
    <w:unhideWhenUsed/>
    <w:rsid w:val="7110F824"/>
    <w:pPr>
      <w:keepNext/>
      <w:spacing w:before="40"/>
      <w:outlineLvl w:val="1"/>
    </w:pPr>
    <w:rPr>
      <w:rFonts w:asciiTheme="majorHAnsi" w:eastAsiaTheme="majorEastAsia" w:hAnsiTheme="majorHAnsi" w:cstheme="majorBidi"/>
      <w:color w:val="17294B" w:themeColor="accent1" w:themeShade="BF"/>
      <w:sz w:val="26"/>
      <w:szCs w:val="26"/>
    </w:rPr>
  </w:style>
  <w:style w:type="paragraph" w:styleId="Nadpis3">
    <w:name w:val="heading 3"/>
    <w:basedOn w:val="Normln"/>
    <w:next w:val="Normln"/>
    <w:link w:val="Nadpis3Char"/>
    <w:uiPriority w:val="9"/>
    <w:semiHidden/>
    <w:unhideWhenUsed/>
    <w:qFormat/>
    <w:rsid w:val="7110F824"/>
    <w:pPr>
      <w:keepNext/>
      <w:spacing w:before="40"/>
      <w:outlineLvl w:val="2"/>
    </w:pPr>
    <w:rPr>
      <w:rFonts w:asciiTheme="majorHAnsi" w:eastAsiaTheme="majorEastAsia" w:hAnsiTheme="majorHAnsi" w:cstheme="majorBidi"/>
      <w:color w:val="0F1B32" w:themeColor="accent1" w:themeShade="80"/>
    </w:rPr>
  </w:style>
  <w:style w:type="paragraph" w:styleId="Nadpis4">
    <w:name w:val="heading 4"/>
    <w:basedOn w:val="Normln"/>
    <w:next w:val="Normln"/>
    <w:link w:val="Nadpis4Char"/>
    <w:uiPriority w:val="9"/>
    <w:unhideWhenUsed/>
    <w:qFormat/>
    <w:rsid w:val="7110F824"/>
    <w:pPr>
      <w:keepNext/>
      <w:spacing w:before="40"/>
      <w:outlineLvl w:val="3"/>
    </w:pPr>
    <w:rPr>
      <w:rFonts w:asciiTheme="majorHAnsi" w:eastAsiaTheme="majorEastAsia" w:hAnsiTheme="majorHAnsi" w:cstheme="majorBidi"/>
      <w:i/>
      <w:iCs/>
      <w:color w:val="17294B" w:themeColor="accent1" w:themeShade="BF"/>
    </w:rPr>
  </w:style>
  <w:style w:type="paragraph" w:styleId="Nadpis5">
    <w:name w:val="heading 5"/>
    <w:basedOn w:val="Normln"/>
    <w:next w:val="Normln"/>
    <w:link w:val="Nadpis5Char"/>
    <w:uiPriority w:val="9"/>
    <w:semiHidden/>
    <w:unhideWhenUsed/>
    <w:qFormat/>
    <w:rsid w:val="7110F824"/>
    <w:pPr>
      <w:keepNext/>
      <w:spacing w:before="40"/>
      <w:outlineLvl w:val="4"/>
    </w:pPr>
    <w:rPr>
      <w:rFonts w:asciiTheme="majorHAnsi" w:eastAsiaTheme="majorEastAsia" w:hAnsiTheme="majorHAnsi" w:cstheme="majorBidi"/>
      <w:color w:val="17294B" w:themeColor="accent1" w:themeShade="BF"/>
    </w:rPr>
  </w:style>
  <w:style w:type="paragraph" w:styleId="Nadpis6">
    <w:name w:val="heading 6"/>
    <w:basedOn w:val="Normln"/>
    <w:next w:val="Normln"/>
    <w:link w:val="Nadpis6Char"/>
    <w:uiPriority w:val="9"/>
    <w:semiHidden/>
    <w:unhideWhenUsed/>
    <w:qFormat/>
    <w:rsid w:val="7110F824"/>
    <w:pPr>
      <w:keepNext/>
      <w:spacing w:before="40"/>
      <w:outlineLvl w:val="5"/>
    </w:pPr>
    <w:rPr>
      <w:rFonts w:asciiTheme="majorHAnsi" w:eastAsiaTheme="majorEastAsia" w:hAnsiTheme="majorHAnsi" w:cstheme="majorBidi"/>
      <w:color w:val="0F1B32" w:themeColor="accent1" w:themeShade="80"/>
    </w:rPr>
  </w:style>
  <w:style w:type="paragraph" w:styleId="Nadpis7">
    <w:name w:val="heading 7"/>
    <w:basedOn w:val="Normln"/>
    <w:next w:val="Normln"/>
    <w:link w:val="Nadpis7Char"/>
    <w:uiPriority w:val="9"/>
    <w:unhideWhenUsed/>
    <w:qFormat/>
    <w:rsid w:val="7110F824"/>
    <w:pPr>
      <w:keepNext/>
      <w:spacing w:before="40"/>
      <w:outlineLvl w:val="6"/>
    </w:pPr>
    <w:rPr>
      <w:rFonts w:asciiTheme="majorHAnsi" w:eastAsiaTheme="majorEastAsia" w:hAnsiTheme="majorHAnsi" w:cstheme="majorBidi"/>
      <w:i/>
      <w:iCs/>
      <w:color w:val="0F1B32" w:themeColor="accent1" w:themeShade="80"/>
    </w:rPr>
  </w:style>
  <w:style w:type="paragraph" w:styleId="Nadpis8">
    <w:name w:val="heading 8"/>
    <w:basedOn w:val="Normln"/>
    <w:next w:val="Normln"/>
    <w:link w:val="Nadpis8Char"/>
    <w:uiPriority w:val="9"/>
    <w:unhideWhenUsed/>
    <w:qFormat/>
    <w:rsid w:val="7110F824"/>
    <w:pPr>
      <w:keepNext/>
      <w:spacing w:before="40"/>
      <w:outlineLvl w:val="7"/>
    </w:pPr>
    <w:rPr>
      <w:rFonts w:asciiTheme="majorHAnsi" w:eastAsiaTheme="majorEastAsia" w:hAnsiTheme="majorHAnsi" w:cstheme="majorBidi"/>
      <w:color w:val="5A6F72"/>
      <w:sz w:val="21"/>
      <w:szCs w:val="21"/>
    </w:rPr>
  </w:style>
  <w:style w:type="paragraph" w:styleId="Nadpis9">
    <w:name w:val="heading 9"/>
    <w:basedOn w:val="Normln"/>
    <w:next w:val="Normln"/>
    <w:link w:val="Nadpis9Char"/>
    <w:uiPriority w:val="9"/>
    <w:unhideWhenUsed/>
    <w:qFormat/>
    <w:rsid w:val="7110F824"/>
    <w:pPr>
      <w:keepNext/>
      <w:spacing w:before="40"/>
      <w:outlineLvl w:val="8"/>
    </w:pPr>
    <w:rPr>
      <w:rFonts w:asciiTheme="majorHAnsi" w:eastAsiaTheme="majorEastAsia" w:hAnsiTheme="majorHAnsi" w:cstheme="majorBidi"/>
      <w:i/>
      <w:iCs/>
      <w:color w:val="5A6F72"/>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7110F824"/>
    <w:pPr>
      <w:tabs>
        <w:tab w:val="center" w:pos="4680"/>
        <w:tab w:val="right" w:pos="9360"/>
      </w:tabs>
    </w:pPr>
  </w:style>
  <w:style w:type="character" w:customStyle="1" w:styleId="ZhlavChar">
    <w:name w:val="Záhlaví Char"/>
    <w:basedOn w:val="Standardnpsmoodstavce"/>
    <w:link w:val="Zhlav"/>
    <w:uiPriority w:val="99"/>
    <w:rsid w:val="7110F824"/>
    <w:rPr>
      <w:noProof w:val="0"/>
      <w:lang w:val="cs-CZ"/>
    </w:rPr>
  </w:style>
  <w:style w:type="paragraph" w:styleId="Zpat">
    <w:name w:val="footer"/>
    <w:basedOn w:val="Normln"/>
    <w:link w:val="ZpatChar"/>
    <w:uiPriority w:val="99"/>
    <w:unhideWhenUsed/>
    <w:rsid w:val="7110F824"/>
    <w:pPr>
      <w:tabs>
        <w:tab w:val="center" w:pos="4680"/>
        <w:tab w:val="right" w:pos="9360"/>
      </w:tabs>
    </w:pPr>
  </w:style>
  <w:style w:type="character" w:customStyle="1" w:styleId="ZpatChar">
    <w:name w:val="Zápatí Char"/>
    <w:basedOn w:val="Standardnpsmoodstavce"/>
    <w:link w:val="Zpat"/>
    <w:uiPriority w:val="99"/>
    <w:rsid w:val="7110F824"/>
    <w:rPr>
      <w:noProof w:val="0"/>
      <w:lang w:val="cs-CZ"/>
    </w:rPr>
  </w:style>
  <w:style w:type="paragraph" w:styleId="Textbubliny">
    <w:name w:val="Balloon Text"/>
    <w:basedOn w:val="Normln"/>
    <w:link w:val="TextbublinyChar"/>
    <w:uiPriority w:val="99"/>
    <w:semiHidden/>
    <w:unhideWhenUsed/>
    <w:rsid w:val="7110F824"/>
    <w:rPr>
      <w:rFonts w:ascii="Tahoma" w:hAnsi="Tahoma" w:cs="Tahoma"/>
      <w:sz w:val="16"/>
      <w:szCs w:val="16"/>
    </w:rPr>
  </w:style>
  <w:style w:type="character" w:customStyle="1" w:styleId="TextbublinyChar">
    <w:name w:val="Text bubliny Char"/>
    <w:basedOn w:val="Standardnpsmoodstavce"/>
    <w:link w:val="Textbubliny"/>
    <w:uiPriority w:val="99"/>
    <w:semiHidden/>
    <w:rsid w:val="7110F824"/>
    <w:rPr>
      <w:rFonts w:ascii="Tahoma" w:eastAsiaTheme="minorEastAsia" w:hAnsi="Tahoma" w:cs="Tahoma"/>
      <w:noProof w:val="0"/>
      <w:sz w:val="16"/>
      <w:szCs w:val="16"/>
      <w:lang w:val="cs-CZ"/>
    </w:rPr>
  </w:style>
  <w:style w:type="paragraph" w:customStyle="1" w:styleId="MainText">
    <w:name w:val="Main Text"/>
    <w:basedOn w:val="Normln"/>
    <w:uiPriority w:val="1"/>
    <w:rsid w:val="7110F824"/>
    <w:pPr>
      <w:spacing w:line="300" w:lineRule="exact"/>
      <w:ind w:left="120"/>
    </w:pPr>
  </w:style>
  <w:style w:type="character" w:styleId="Hypertextovodkaz">
    <w:name w:val="Hyperlink"/>
    <w:basedOn w:val="Standardnpsmoodstavce"/>
    <w:uiPriority w:val="99"/>
    <w:unhideWhenUsed/>
    <w:rsid w:val="00F81642"/>
    <w:rPr>
      <w:color w:val="80BBAD" w:themeColor="hyperlink"/>
      <w:u w:val="single"/>
    </w:rPr>
  </w:style>
  <w:style w:type="character" w:customStyle="1" w:styleId="Nadpis1Char">
    <w:name w:val="Nadpis 1 Char"/>
    <w:basedOn w:val="Standardnpsmoodstavce"/>
    <w:link w:val="Nadpis1"/>
    <w:uiPriority w:val="1"/>
    <w:rsid w:val="7110F824"/>
    <w:rPr>
      <w:rFonts w:ascii="Futura Bk BT" w:eastAsia="Times New Roman" w:hAnsi="Futura Bk BT" w:cs="Times New Roman"/>
      <w:b/>
      <w:bCs/>
      <w:noProof w:val="0"/>
      <w:color w:val="999999"/>
      <w:sz w:val="20"/>
      <w:szCs w:val="20"/>
      <w:lang w:val="cs-CZ" w:eastAsia="en-US"/>
    </w:rPr>
  </w:style>
  <w:style w:type="character" w:customStyle="1" w:styleId="UnresolvedMention1">
    <w:name w:val="Unresolved Mention1"/>
    <w:basedOn w:val="Standardnpsmoodstavce"/>
    <w:uiPriority w:val="99"/>
    <w:semiHidden/>
    <w:unhideWhenUsed/>
    <w:rsid w:val="00685808"/>
    <w:rPr>
      <w:color w:val="808080"/>
      <w:shd w:val="clear" w:color="auto" w:fill="E6E6E6"/>
    </w:rPr>
  </w:style>
  <w:style w:type="paragraph" w:customStyle="1" w:styleId="BodyCopy">
    <w:name w:val="Body Copy"/>
    <w:basedOn w:val="Normln"/>
    <w:uiPriority w:val="1"/>
    <w:qFormat/>
    <w:rsid w:val="7110F824"/>
    <w:rPr>
      <w:color w:val="425254" w:themeColor="text1"/>
    </w:rPr>
  </w:style>
  <w:style w:type="paragraph" w:customStyle="1" w:styleId="Boilerplate">
    <w:name w:val="Boilerplate"/>
    <w:basedOn w:val="Normln"/>
    <w:uiPriority w:val="1"/>
    <w:rsid w:val="7110F824"/>
    <w:rPr>
      <w:rFonts w:ascii="Calibre" w:eastAsia="Calibri" w:hAnsi="Calibre"/>
      <w:color w:val="7F8481" w:themeColor="accent5"/>
      <w:sz w:val="21"/>
      <w:szCs w:val="21"/>
    </w:rPr>
  </w:style>
  <w:style w:type="paragraph" w:customStyle="1" w:styleId="Subhead">
    <w:name w:val="Subhead"/>
    <w:basedOn w:val="Normln"/>
    <w:uiPriority w:val="1"/>
    <w:qFormat/>
    <w:rsid w:val="7110F824"/>
    <w:pPr>
      <w:jc w:val="center"/>
    </w:pPr>
    <w:rPr>
      <w:i/>
      <w:iCs/>
      <w:color w:val="425254" w:themeColor="text1"/>
    </w:rPr>
  </w:style>
  <w:style w:type="paragraph" w:customStyle="1" w:styleId="Headline">
    <w:name w:val="Headline"/>
    <w:basedOn w:val="Normln"/>
    <w:uiPriority w:val="1"/>
    <w:qFormat/>
    <w:rsid w:val="7110F824"/>
    <w:pPr>
      <w:jc w:val="center"/>
    </w:pPr>
    <w:rPr>
      <w:b/>
      <w:bCs/>
      <w:color w:val="425254" w:themeColor="text1"/>
      <w:sz w:val="28"/>
      <w:szCs w:val="28"/>
    </w:rPr>
  </w:style>
  <w:style w:type="paragraph" w:customStyle="1" w:styleId="Contact">
    <w:name w:val="Contact"/>
    <w:basedOn w:val="MainText"/>
    <w:uiPriority w:val="1"/>
    <w:qFormat/>
    <w:rsid w:val="7110F824"/>
    <w:pPr>
      <w:ind w:left="0"/>
    </w:pPr>
    <w:rPr>
      <w:b/>
      <w:bCs/>
      <w:color w:val="425254" w:themeColor="text1"/>
    </w:rPr>
  </w:style>
  <w:style w:type="character" w:styleId="Odkaznakoment">
    <w:name w:val="annotation reference"/>
    <w:basedOn w:val="Standardnpsmoodstavce"/>
    <w:uiPriority w:val="99"/>
    <w:unhideWhenUsed/>
    <w:rsid w:val="007C1420"/>
    <w:rPr>
      <w:sz w:val="16"/>
      <w:szCs w:val="16"/>
    </w:rPr>
  </w:style>
  <w:style w:type="paragraph" w:styleId="Textkomente">
    <w:name w:val="annotation text"/>
    <w:basedOn w:val="Normln"/>
    <w:link w:val="TextkomenteChar"/>
    <w:uiPriority w:val="99"/>
    <w:unhideWhenUsed/>
    <w:rsid w:val="7110F824"/>
    <w:rPr>
      <w:sz w:val="20"/>
      <w:szCs w:val="20"/>
    </w:rPr>
  </w:style>
  <w:style w:type="character" w:customStyle="1" w:styleId="TextkomenteChar">
    <w:name w:val="Text komentáře Char"/>
    <w:basedOn w:val="Standardnpsmoodstavce"/>
    <w:link w:val="Textkomente"/>
    <w:uiPriority w:val="99"/>
    <w:rsid w:val="7110F824"/>
    <w:rPr>
      <w:rFonts w:ascii="Times New Roman" w:eastAsia="Times New Roman" w:hAnsi="Times New Roman" w:cs="Times New Roman"/>
      <w:noProof w:val="0"/>
      <w:sz w:val="20"/>
      <w:szCs w:val="20"/>
      <w:lang w:val="cs-CZ" w:eastAsia="en-US"/>
    </w:rPr>
  </w:style>
  <w:style w:type="paragraph" w:styleId="Pedmtkomente">
    <w:name w:val="annotation subject"/>
    <w:basedOn w:val="Textkomente"/>
    <w:next w:val="Textkomente"/>
    <w:link w:val="PedmtkomenteChar"/>
    <w:uiPriority w:val="99"/>
    <w:semiHidden/>
    <w:unhideWhenUsed/>
    <w:rsid w:val="7110F824"/>
    <w:rPr>
      <w:b/>
      <w:bCs/>
    </w:rPr>
  </w:style>
  <w:style w:type="character" w:customStyle="1" w:styleId="PedmtkomenteChar">
    <w:name w:val="Předmět komentáře Char"/>
    <w:basedOn w:val="TextkomenteChar"/>
    <w:link w:val="Pedmtkomente"/>
    <w:uiPriority w:val="99"/>
    <w:semiHidden/>
    <w:rsid w:val="7110F824"/>
    <w:rPr>
      <w:rFonts w:ascii="Times New Roman" w:eastAsia="Times New Roman" w:hAnsi="Times New Roman" w:cs="Times New Roman"/>
      <w:b/>
      <w:bCs/>
      <w:noProof w:val="0"/>
      <w:sz w:val="20"/>
      <w:szCs w:val="20"/>
      <w:lang w:val="cs-CZ" w:eastAsia="en-US"/>
    </w:rPr>
  </w:style>
  <w:style w:type="character" w:customStyle="1" w:styleId="normaltextrun">
    <w:name w:val="normaltextrun"/>
    <w:rsid w:val="003B0B9B"/>
  </w:style>
  <w:style w:type="paragraph" w:styleId="Textpoznpodarou">
    <w:name w:val="footnote text"/>
    <w:basedOn w:val="Normln"/>
    <w:link w:val="TextpoznpodarouChar"/>
    <w:uiPriority w:val="1"/>
    <w:rsid w:val="7110F824"/>
    <w:rPr>
      <w:sz w:val="20"/>
      <w:szCs w:val="20"/>
    </w:rPr>
  </w:style>
  <w:style w:type="character" w:customStyle="1" w:styleId="TextpoznpodarouChar">
    <w:name w:val="Text pozn. pod čarou Char"/>
    <w:basedOn w:val="Standardnpsmoodstavce"/>
    <w:link w:val="Textpoznpodarou"/>
    <w:uiPriority w:val="1"/>
    <w:rsid w:val="7110F824"/>
    <w:rPr>
      <w:rFonts w:ascii="Times New Roman" w:eastAsia="Times New Roman" w:hAnsi="Times New Roman" w:cs="Times New Roman"/>
      <w:noProof w:val="0"/>
      <w:sz w:val="20"/>
      <w:szCs w:val="20"/>
      <w:lang w:val="cs-CZ" w:eastAsia="en-US"/>
    </w:rPr>
  </w:style>
  <w:style w:type="character" w:styleId="Znakapoznpodarou">
    <w:name w:val="footnote reference"/>
    <w:rsid w:val="00D43EBE"/>
    <w:rPr>
      <w:vertAlign w:val="superscript"/>
    </w:rPr>
  </w:style>
  <w:style w:type="paragraph" w:styleId="Odstavecseseznamem">
    <w:name w:val="List Paragraph"/>
    <w:basedOn w:val="Normln"/>
    <w:uiPriority w:val="34"/>
    <w:qFormat/>
    <w:rsid w:val="7110F824"/>
    <w:pPr>
      <w:ind w:left="720"/>
    </w:pPr>
    <w:rPr>
      <w:rFonts w:ascii="Calibri" w:eastAsiaTheme="minorEastAsia" w:hAnsi="Calibri" w:cs="Calibri"/>
      <w:sz w:val="22"/>
      <w:szCs w:val="22"/>
    </w:rPr>
  </w:style>
  <w:style w:type="paragraph" w:styleId="Revize">
    <w:name w:val="Revision"/>
    <w:hidden/>
    <w:uiPriority w:val="99"/>
    <w:semiHidden/>
    <w:rsid w:val="00CA2436"/>
    <w:pPr>
      <w:spacing w:after="0" w:line="240" w:lineRule="auto"/>
    </w:pPr>
    <w:rPr>
      <w:rFonts w:ascii="Times New Roman" w:eastAsia="Times New Roman" w:hAnsi="Times New Roman" w:cs="Times New Roman"/>
      <w:sz w:val="24"/>
      <w:szCs w:val="24"/>
      <w:lang w:eastAsia="en-US"/>
    </w:rPr>
  </w:style>
  <w:style w:type="character" w:customStyle="1" w:styleId="Nadpis2Char">
    <w:name w:val="Nadpis 2 Char"/>
    <w:basedOn w:val="Standardnpsmoodstavce"/>
    <w:link w:val="Nadpis2"/>
    <w:uiPriority w:val="9"/>
    <w:semiHidden/>
    <w:rsid w:val="7110F824"/>
    <w:rPr>
      <w:rFonts w:asciiTheme="majorHAnsi" w:eastAsiaTheme="majorEastAsia" w:hAnsiTheme="majorHAnsi" w:cstheme="majorBidi"/>
      <w:noProof w:val="0"/>
      <w:color w:val="17294B" w:themeColor="accent1" w:themeShade="BF"/>
      <w:sz w:val="26"/>
      <w:szCs w:val="26"/>
      <w:lang w:val="cs-CZ" w:eastAsia="en-US"/>
    </w:rPr>
  </w:style>
  <w:style w:type="character" w:customStyle="1" w:styleId="Nadpis3Char">
    <w:name w:val="Nadpis 3 Char"/>
    <w:basedOn w:val="Standardnpsmoodstavce"/>
    <w:link w:val="Nadpis3"/>
    <w:uiPriority w:val="9"/>
    <w:semiHidden/>
    <w:rsid w:val="7110F824"/>
    <w:rPr>
      <w:rFonts w:asciiTheme="majorHAnsi" w:eastAsiaTheme="majorEastAsia" w:hAnsiTheme="majorHAnsi" w:cstheme="majorBidi"/>
      <w:noProof w:val="0"/>
      <w:color w:val="0F1B32" w:themeColor="accent1" w:themeShade="80"/>
      <w:sz w:val="24"/>
      <w:szCs w:val="24"/>
      <w:lang w:val="cs-CZ" w:eastAsia="en-US"/>
    </w:rPr>
  </w:style>
  <w:style w:type="character" w:customStyle="1" w:styleId="Nadpis6Char">
    <w:name w:val="Nadpis 6 Char"/>
    <w:basedOn w:val="Standardnpsmoodstavce"/>
    <w:link w:val="Nadpis6"/>
    <w:uiPriority w:val="9"/>
    <w:semiHidden/>
    <w:rsid w:val="7110F824"/>
    <w:rPr>
      <w:rFonts w:asciiTheme="majorHAnsi" w:eastAsiaTheme="majorEastAsia" w:hAnsiTheme="majorHAnsi" w:cstheme="majorBidi"/>
      <w:noProof w:val="0"/>
      <w:color w:val="0F1B32" w:themeColor="accent1" w:themeShade="80"/>
      <w:sz w:val="24"/>
      <w:szCs w:val="24"/>
      <w:lang w:val="cs-CZ" w:eastAsia="en-US"/>
    </w:rPr>
  </w:style>
  <w:style w:type="paragraph" w:customStyle="1" w:styleId="ez">
    <w:name w:val="e_z"/>
    <w:basedOn w:val="Normln"/>
    <w:uiPriority w:val="1"/>
    <w:rsid w:val="7110F824"/>
    <w:pPr>
      <w:spacing w:beforeAutospacing="1" w:afterAutospacing="1"/>
    </w:pPr>
    <w:rPr>
      <w:lang w:eastAsia="cs-CZ"/>
    </w:rPr>
  </w:style>
  <w:style w:type="character" w:customStyle="1" w:styleId="atm-text-decorator">
    <w:name w:val="atm-text-decorator"/>
    <w:basedOn w:val="Standardnpsmoodstavce"/>
    <w:rsid w:val="00047123"/>
  </w:style>
  <w:style w:type="character" w:customStyle="1" w:styleId="mol-formatted-datedate">
    <w:name w:val="mol-formatted-date__date"/>
    <w:basedOn w:val="Standardnpsmoodstavce"/>
    <w:rsid w:val="00047123"/>
  </w:style>
  <w:style w:type="character" w:customStyle="1" w:styleId="mol-formatted-datetime">
    <w:name w:val="mol-formatted-date__time"/>
    <w:basedOn w:val="Standardnpsmoodstavce"/>
    <w:rsid w:val="00047123"/>
  </w:style>
  <w:style w:type="paragraph" w:styleId="Normlnweb">
    <w:name w:val="Normal (Web)"/>
    <w:basedOn w:val="Normln"/>
    <w:uiPriority w:val="99"/>
    <w:semiHidden/>
    <w:unhideWhenUsed/>
    <w:rsid w:val="7110F824"/>
    <w:pPr>
      <w:spacing w:beforeAutospacing="1" w:afterAutospacing="1"/>
    </w:pPr>
    <w:rPr>
      <w:lang w:eastAsia="cs-CZ"/>
    </w:rPr>
  </w:style>
  <w:style w:type="character" w:customStyle="1" w:styleId="viiyi">
    <w:name w:val="viiyi"/>
    <w:basedOn w:val="Standardnpsmoodstavce"/>
    <w:rsid w:val="0021614D"/>
  </w:style>
  <w:style w:type="character" w:customStyle="1" w:styleId="jlqj4b">
    <w:name w:val="jlqj4b"/>
    <w:basedOn w:val="Standardnpsmoodstavce"/>
    <w:rsid w:val="0021614D"/>
  </w:style>
  <w:style w:type="character" w:customStyle="1" w:styleId="Nadpis5Char">
    <w:name w:val="Nadpis 5 Char"/>
    <w:basedOn w:val="Standardnpsmoodstavce"/>
    <w:link w:val="Nadpis5"/>
    <w:uiPriority w:val="9"/>
    <w:semiHidden/>
    <w:rsid w:val="7110F824"/>
    <w:rPr>
      <w:rFonts w:asciiTheme="majorHAnsi" w:eastAsiaTheme="majorEastAsia" w:hAnsiTheme="majorHAnsi" w:cstheme="majorBidi"/>
      <w:noProof w:val="0"/>
      <w:color w:val="17294B" w:themeColor="accent1" w:themeShade="BF"/>
      <w:sz w:val="24"/>
      <w:szCs w:val="24"/>
      <w:lang w:val="cs-CZ" w:eastAsia="en-US"/>
    </w:rPr>
  </w:style>
  <w:style w:type="paragraph" w:customStyle="1" w:styleId="paragraph">
    <w:name w:val="paragraph"/>
    <w:basedOn w:val="Normln"/>
    <w:rsid w:val="7110F824"/>
    <w:pPr>
      <w:spacing w:beforeAutospacing="1" w:afterAutospacing="1"/>
    </w:pPr>
    <w:rPr>
      <w:lang w:eastAsia="cs-CZ"/>
    </w:rPr>
  </w:style>
  <w:style w:type="character" w:styleId="Siln">
    <w:name w:val="Strong"/>
    <w:basedOn w:val="Standardnpsmoodstavce"/>
    <w:uiPriority w:val="22"/>
    <w:qFormat/>
    <w:rsid w:val="00B11155"/>
    <w:rPr>
      <w:b/>
      <w:bCs/>
    </w:rPr>
  </w:style>
  <w:style w:type="character" w:customStyle="1" w:styleId="eop">
    <w:name w:val="eop"/>
    <w:basedOn w:val="Standardnpsmoodstavce"/>
    <w:rsid w:val="00B11155"/>
  </w:style>
  <w:style w:type="character" w:styleId="Zdraznn">
    <w:name w:val="Emphasis"/>
    <w:basedOn w:val="Standardnpsmoodstavce"/>
    <w:uiPriority w:val="20"/>
    <w:qFormat/>
    <w:rsid w:val="00F81315"/>
    <w:rPr>
      <w:i/>
      <w:iCs/>
    </w:rPr>
  </w:style>
  <w:style w:type="paragraph" w:styleId="Nzev">
    <w:name w:val="Title"/>
    <w:basedOn w:val="Normln"/>
    <w:next w:val="Normln"/>
    <w:link w:val="NzevChar"/>
    <w:uiPriority w:val="10"/>
    <w:qFormat/>
    <w:rsid w:val="7110F824"/>
    <w:pPr>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7110F824"/>
    <w:rPr>
      <w:rFonts w:eastAsiaTheme="minorEastAsia"/>
      <w:color w:val="7C9598"/>
    </w:rPr>
  </w:style>
  <w:style w:type="paragraph" w:styleId="Citt">
    <w:name w:val="Quote"/>
    <w:basedOn w:val="Normln"/>
    <w:next w:val="Normln"/>
    <w:link w:val="CittChar"/>
    <w:uiPriority w:val="29"/>
    <w:qFormat/>
    <w:rsid w:val="7110F824"/>
    <w:pPr>
      <w:spacing w:before="200"/>
      <w:ind w:left="864" w:right="864"/>
      <w:jc w:val="center"/>
    </w:pPr>
    <w:rPr>
      <w:i/>
      <w:iCs/>
      <w:color w:val="698386"/>
    </w:rPr>
  </w:style>
  <w:style w:type="paragraph" w:styleId="Vrazncitt">
    <w:name w:val="Intense Quote"/>
    <w:basedOn w:val="Normln"/>
    <w:next w:val="Normln"/>
    <w:link w:val="VrazncittChar"/>
    <w:uiPriority w:val="30"/>
    <w:qFormat/>
    <w:rsid w:val="7110F824"/>
    <w:pPr>
      <w:spacing w:before="360" w:after="360"/>
      <w:ind w:left="864" w:right="864"/>
      <w:jc w:val="center"/>
    </w:pPr>
    <w:rPr>
      <w:i/>
      <w:iCs/>
      <w:color w:val="1F3765" w:themeColor="accent1"/>
    </w:rPr>
  </w:style>
  <w:style w:type="character" w:customStyle="1" w:styleId="Nadpis4Char">
    <w:name w:val="Nadpis 4 Char"/>
    <w:basedOn w:val="Standardnpsmoodstavce"/>
    <w:link w:val="Nadpis4"/>
    <w:uiPriority w:val="9"/>
    <w:rsid w:val="7110F824"/>
    <w:rPr>
      <w:rFonts w:asciiTheme="majorHAnsi" w:eastAsiaTheme="majorEastAsia" w:hAnsiTheme="majorHAnsi" w:cstheme="majorBidi"/>
      <w:i/>
      <w:iCs/>
      <w:noProof w:val="0"/>
      <w:color w:val="17294B" w:themeColor="accent1" w:themeShade="BF"/>
      <w:lang w:val="cs-CZ"/>
    </w:rPr>
  </w:style>
  <w:style w:type="character" w:customStyle="1" w:styleId="Nadpis7Char">
    <w:name w:val="Nadpis 7 Char"/>
    <w:basedOn w:val="Standardnpsmoodstavce"/>
    <w:link w:val="Nadpis7"/>
    <w:uiPriority w:val="9"/>
    <w:rsid w:val="7110F824"/>
    <w:rPr>
      <w:rFonts w:asciiTheme="majorHAnsi" w:eastAsiaTheme="majorEastAsia" w:hAnsiTheme="majorHAnsi" w:cstheme="majorBidi"/>
      <w:i/>
      <w:iCs/>
      <w:noProof w:val="0"/>
      <w:color w:val="0F1B32" w:themeColor="accent1" w:themeShade="80"/>
      <w:lang w:val="cs-CZ"/>
    </w:rPr>
  </w:style>
  <w:style w:type="character" w:customStyle="1" w:styleId="Nadpis8Char">
    <w:name w:val="Nadpis 8 Char"/>
    <w:basedOn w:val="Standardnpsmoodstavce"/>
    <w:link w:val="Nadpis8"/>
    <w:uiPriority w:val="9"/>
    <w:rsid w:val="7110F824"/>
    <w:rPr>
      <w:rFonts w:asciiTheme="majorHAnsi" w:eastAsiaTheme="majorEastAsia" w:hAnsiTheme="majorHAnsi" w:cstheme="majorBidi"/>
      <w:noProof w:val="0"/>
      <w:color w:val="5A6F72"/>
      <w:sz w:val="21"/>
      <w:szCs w:val="21"/>
      <w:lang w:val="cs-CZ"/>
    </w:rPr>
  </w:style>
  <w:style w:type="character" w:customStyle="1" w:styleId="Nadpis9Char">
    <w:name w:val="Nadpis 9 Char"/>
    <w:basedOn w:val="Standardnpsmoodstavce"/>
    <w:link w:val="Nadpis9"/>
    <w:uiPriority w:val="9"/>
    <w:rsid w:val="7110F824"/>
    <w:rPr>
      <w:rFonts w:asciiTheme="majorHAnsi" w:eastAsiaTheme="majorEastAsia" w:hAnsiTheme="majorHAnsi" w:cstheme="majorBidi"/>
      <w:i/>
      <w:iCs/>
      <w:noProof w:val="0"/>
      <w:color w:val="5A6F72"/>
      <w:sz w:val="21"/>
      <w:szCs w:val="21"/>
      <w:lang w:val="cs-CZ"/>
    </w:rPr>
  </w:style>
  <w:style w:type="character" w:customStyle="1" w:styleId="NzevChar">
    <w:name w:val="Název Char"/>
    <w:basedOn w:val="Standardnpsmoodstavce"/>
    <w:link w:val="Nzev"/>
    <w:uiPriority w:val="10"/>
    <w:rsid w:val="7110F824"/>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7110F824"/>
    <w:rPr>
      <w:noProof w:val="0"/>
      <w:color w:val="7C9598"/>
      <w:lang w:val="cs-CZ"/>
    </w:rPr>
  </w:style>
  <w:style w:type="character" w:customStyle="1" w:styleId="CittChar">
    <w:name w:val="Citát Char"/>
    <w:basedOn w:val="Standardnpsmoodstavce"/>
    <w:link w:val="Citt"/>
    <w:uiPriority w:val="29"/>
    <w:rsid w:val="7110F824"/>
    <w:rPr>
      <w:i/>
      <w:iCs/>
      <w:noProof w:val="0"/>
      <w:color w:val="698386"/>
      <w:lang w:val="cs-CZ"/>
    </w:rPr>
  </w:style>
  <w:style w:type="character" w:customStyle="1" w:styleId="VrazncittChar">
    <w:name w:val="Výrazný citát Char"/>
    <w:basedOn w:val="Standardnpsmoodstavce"/>
    <w:link w:val="Vrazncitt"/>
    <w:uiPriority w:val="30"/>
    <w:rsid w:val="7110F824"/>
    <w:rPr>
      <w:i/>
      <w:iCs/>
      <w:noProof w:val="0"/>
      <w:color w:val="1F3765" w:themeColor="accent1"/>
      <w:lang w:val="cs-CZ"/>
    </w:rPr>
  </w:style>
  <w:style w:type="paragraph" w:styleId="Obsah1">
    <w:name w:val="toc 1"/>
    <w:basedOn w:val="Normln"/>
    <w:next w:val="Normln"/>
    <w:uiPriority w:val="39"/>
    <w:unhideWhenUsed/>
    <w:rsid w:val="7110F824"/>
    <w:pPr>
      <w:spacing w:after="100"/>
    </w:pPr>
  </w:style>
  <w:style w:type="paragraph" w:styleId="Obsah2">
    <w:name w:val="toc 2"/>
    <w:basedOn w:val="Normln"/>
    <w:next w:val="Normln"/>
    <w:uiPriority w:val="39"/>
    <w:unhideWhenUsed/>
    <w:rsid w:val="7110F824"/>
    <w:pPr>
      <w:spacing w:after="100"/>
      <w:ind w:left="220"/>
    </w:pPr>
  </w:style>
  <w:style w:type="paragraph" w:styleId="Obsah3">
    <w:name w:val="toc 3"/>
    <w:basedOn w:val="Normln"/>
    <w:next w:val="Normln"/>
    <w:uiPriority w:val="39"/>
    <w:unhideWhenUsed/>
    <w:rsid w:val="7110F824"/>
    <w:pPr>
      <w:spacing w:after="100"/>
      <w:ind w:left="440"/>
    </w:pPr>
  </w:style>
  <w:style w:type="paragraph" w:styleId="Obsah4">
    <w:name w:val="toc 4"/>
    <w:basedOn w:val="Normln"/>
    <w:next w:val="Normln"/>
    <w:uiPriority w:val="39"/>
    <w:unhideWhenUsed/>
    <w:rsid w:val="7110F824"/>
    <w:pPr>
      <w:spacing w:after="100"/>
      <w:ind w:left="660"/>
    </w:pPr>
  </w:style>
  <w:style w:type="paragraph" w:styleId="Obsah5">
    <w:name w:val="toc 5"/>
    <w:basedOn w:val="Normln"/>
    <w:next w:val="Normln"/>
    <w:uiPriority w:val="39"/>
    <w:unhideWhenUsed/>
    <w:rsid w:val="7110F824"/>
    <w:pPr>
      <w:spacing w:after="100"/>
      <w:ind w:left="880"/>
    </w:pPr>
  </w:style>
  <w:style w:type="paragraph" w:styleId="Obsah6">
    <w:name w:val="toc 6"/>
    <w:basedOn w:val="Normln"/>
    <w:next w:val="Normln"/>
    <w:uiPriority w:val="39"/>
    <w:unhideWhenUsed/>
    <w:rsid w:val="7110F824"/>
    <w:pPr>
      <w:spacing w:after="100"/>
      <w:ind w:left="1100"/>
    </w:pPr>
  </w:style>
  <w:style w:type="paragraph" w:styleId="Obsah7">
    <w:name w:val="toc 7"/>
    <w:basedOn w:val="Normln"/>
    <w:next w:val="Normln"/>
    <w:uiPriority w:val="39"/>
    <w:unhideWhenUsed/>
    <w:rsid w:val="7110F824"/>
    <w:pPr>
      <w:spacing w:after="100"/>
      <w:ind w:left="1320"/>
    </w:pPr>
  </w:style>
  <w:style w:type="paragraph" w:styleId="Obsah8">
    <w:name w:val="toc 8"/>
    <w:basedOn w:val="Normln"/>
    <w:next w:val="Normln"/>
    <w:uiPriority w:val="39"/>
    <w:unhideWhenUsed/>
    <w:rsid w:val="7110F824"/>
    <w:pPr>
      <w:spacing w:after="100"/>
      <w:ind w:left="1540"/>
    </w:pPr>
  </w:style>
  <w:style w:type="paragraph" w:styleId="Obsah9">
    <w:name w:val="toc 9"/>
    <w:basedOn w:val="Normln"/>
    <w:next w:val="Normln"/>
    <w:uiPriority w:val="39"/>
    <w:unhideWhenUsed/>
    <w:rsid w:val="7110F824"/>
    <w:pPr>
      <w:spacing w:after="100"/>
      <w:ind w:left="1760"/>
    </w:pPr>
  </w:style>
  <w:style w:type="paragraph" w:styleId="Textvysvtlivek">
    <w:name w:val="endnote text"/>
    <w:basedOn w:val="Normln"/>
    <w:link w:val="TextvysvtlivekChar"/>
    <w:uiPriority w:val="99"/>
    <w:semiHidden/>
    <w:unhideWhenUsed/>
    <w:rsid w:val="7110F824"/>
    <w:rPr>
      <w:sz w:val="20"/>
      <w:szCs w:val="20"/>
    </w:rPr>
  </w:style>
  <w:style w:type="character" w:customStyle="1" w:styleId="TextvysvtlivekChar">
    <w:name w:val="Text vysvětlivek Char"/>
    <w:basedOn w:val="Standardnpsmoodstavce"/>
    <w:link w:val="Textvysvtlivek"/>
    <w:uiPriority w:val="99"/>
    <w:semiHidden/>
    <w:rsid w:val="7110F824"/>
    <w:rPr>
      <w:noProof w:val="0"/>
      <w:sz w:val="20"/>
      <w:szCs w:val="20"/>
      <w:lang w:val="cs-CZ"/>
    </w:rPr>
  </w:style>
  <w:style w:type="character" w:customStyle="1" w:styleId="Nevyeenzmnka1">
    <w:name w:val="Nevyřešená zmínka1"/>
    <w:basedOn w:val="Standardnpsmoodstavce"/>
    <w:uiPriority w:val="99"/>
    <w:semiHidden/>
    <w:unhideWhenUsed/>
    <w:rsid w:val="0037184B"/>
    <w:rPr>
      <w:color w:val="605E5C"/>
      <w:shd w:val="clear" w:color="auto" w:fill="E1DFDD"/>
    </w:rPr>
  </w:style>
  <w:style w:type="character" w:styleId="Odkaznavysvtlivky">
    <w:name w:val="endnote reference"/>
    <w:basedOn w:val="Standardnpsmoodstavce"/>
    <w:uiPriority w:val="99"/>
    <w:semiHidden/>
    <w:unhideWhenUsed/>
    <w:rsid w:val="008F5860"/>
    <w:rPr>
      <w:vertAlign w:val="superscript"/>
    </w:rPr>
  </w:style>
  <w:style w:type="character" w:styleId="Nevyeenzmnka">
    <w:name w:val="Unresolved Mention"/>
    <w:basedOn w:val="Standardnpsmoodstavce"/>
    <w:uiPriority w:val="99"/>
    <w:semiHidden/>
    <w:unhideWhenUsed/>
    <w:rsid w:val="00C81E04"/>
    <w:rPr>
      <w:color w:val="605E5C"/>
      <w:shd w:val="clear" w:color="auto" w:fill="E1DFDD"/>
    </w:rPr>
  </w:style>
  <w:style w:type="character" w:customStyle="1" w:styleId="tabchar">
    <w:name w:val="tabchar"/>
    <w:basedOn w:val="Standardnpsmoodstavce"/>
    <w:rsid w:val="00375AC5"/>
  </w:style>
  <w:style w:type="table" w:styleId="Mkatabulky">
    <w:name w:val="Table Grid"/>
    <w:basedOn w:val="Normlntabulka"/>
    <w:uiPriority w:val="59"/>
    <w:rsid w:val="0037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2914">
      <w:bodyDiv w:val="1"/>
      <w:marLeft w:val="0"/>
      <w:marRight w:val="0"/>
      <w:marTop w:val="0"/>
      <w:marBottom w:val="0"/>
      <w:divBdr>
        <w:top w:val="none" w:sz="0" w:space="0" w:color="auto"/>
        <w:left w:val="none" w:sz="0" w:space="0" w:color="auto"/>
        <w:bottom w:val="none" w:sz="0" w:space="0" w:color="auto"/>
        <w:right w:val="none" w:sz="0" w:space="0" w:color="auto"/>
      </w:divBdr>
    </w:div>
    <w:div w:id="33702754">
      <w:bodyDiv w:val="1"/>
      <w:marLeft w:val="0"/>
      <w:marRight w:val="0"/>
      <w:marTop w:val="0"/>
      <w:marBottom w:val="0"/>
      <w:divBdr>
        <w:top w:val="none" w:sz="0" w:space="0" w:color="auto"/>
        <w:left w:val="none" w:sz="0" w:space="0" w:color="auto"/>
        <w:bottom w:val="none" w:sz="0" w:space="0" w:color="auto"/>
        <w:right w:val="none" w:sz="0" w:space="0" w:color="auto"/>
      </w:divBdr>
    </w:div>
    <w:div w:id="64568156">
      <w:bodyDiv w:val="1"/>
      <w:marLeft w:val="0"/>
      <w:marRight w:val="0"/>
      <w:marTop w:val="0"/>
      <w:marBottom w:val="0"/>
      <w:divBdr>
        <w:top w:val="none" w:sz="0" w:space="0" w:color="auto"/>
        <w:left w:val="none" w:sz="0" w:space="0" w:color="auto"/>
        <w:bottom w:val="none" w:sz="0" w:space="0" w:color="auto"/>
        <w:right w:val="none" w:sz="0" w:space="0" w:color="auto"/>
      </w:divBdr>
    </w:div>
    <w:div w:id="65614840">
      <w:bodyDiv w:val="1"/>
      <w:marLeft w:val="0"/>
      <w:marRight w:val="0"/>
      <w:marTop w:val="0"/>
      <w:marBottom w:val="0"/>
      <w:divBdr>
        <w:top w:val="none" w:sz="0" w:space="0" w:color="auto"/>
        <w:left w:val="none" w:sz="0" w:space="0" w:color="auto"/>
        <w:bottom w:val="none" w:sz="0" w:space="0" w:color="auto"/>
        <w:right w:val="none" w:sz="0" w:space="0" w:color="auto"/>
      </w:divBdr>
    </w:div>
    <w:div w:id="84620555">
      <w:bodyDiv w:val="1"/>
      <w:marLeft w:val="0"/>
      <w:marRight w:val="0"/>
      <w:marTop w:val="0"/>
      <w:marBottom w:val="0"/>
      <w:divBdr>
        <w:top w:val="none" w:sz="0" w:space="0" w:color="auto"/>
        <w:left w:val="none" w:sz="0" w:space="0" w:color="auto"/>
        <w:bottom w:val="none" w:sz="0" w:space="0" w:color="auto"/>
        <w:right w:val="none" w:sz="0" w:space="0" w:color="auto"/>
      </w:divBdr>
    </w:div>
    <w:div w:id="90516716">
      <w:bodyDiv w:val="1"/>
      <w:marLeft w:val="0"/>
      <w:marRight w:val="0"/>
      <w:marTop w:val="0"/>
      <w:marBottom w:val="0"/>
      <w:divBdr>
        <w:top w:val="none" w:sz="0" w:space="0" w:color="auto"/>
        <w:left w:val="none" w:sz="0" w:space="0" w:color="auto"/>
        <w:bottom w:val="none" w:sz="0" w:space="0" w:color="auto"/>
        <w:right w:val="none" w:sz="0" w:space="0" w:color="auto"/>
      </w:divBdr>
    </w:div>
    <w:div w:id="100731838">
      <w:bodyDiv w:val="1"/>
      <w:marLeft w:val="0"/>
      <w:marRight w:val="0"/>
      <w:marTop w:val="0"/>
      <w:marBottom w:val="0"/>
      <w:divBdr>
        <w:top w:val="none" w:sz="0" w:space="0" w:color="auto"/>
        <w:left w:val="none" w:sz="0" w:space="0" w:color="auto"/>
        <w:bottom w:val="none" w:sz="0" w:space="0" w:color="auto"/>
        <w:right w:val="none" w:sz="0" w:space="0" w:color="auto"/>
      </w:divBdr>
    </w:div>
    <w:div w:id="113793833">
      <w:bodyDiv w:val="1"/>
      <w:marLeft w:val="0"/>
      <w:marRight w:val="0"/>
      <w:marTop w:val="0"/>
      <w:marBottom w:val="0"/>
      <w:divBdr>
        <w:top w:val="none" w:sz="0" w:space="0" w:color="auto"/>
        <w:left w:val="none" w:sz="0" w:space="0" w:color="auto"/>
        <w:bottom w:val="none" w:sz="0" w:space="0" w:color="auto"/>
        <w:right w:val="none" w:sz="0" w:space="0" w:color="auto"/>
      </w:divBdr>
    </w:div>
    <w:div w:id="117340737">
      <w:bodyDiv w:val="1"/>
      <w:marLeft w:val="0"/>
      <w:marRight w:val="0"/>
      <w:marTop w:val="0"/>
      <w:marBottom w:val="0"/>
      <w:divBdr>
        <w:top w:val="none" w:sz="0" w:space="0" w:color="auto"/>
        <w:left w:val="none" w:sz="0" w:space="0" w:color="auto"/>
        <w:bottom w:val="none" w:sz="0" w:space="0" w:color="auto"/>
        <w:right w:val="none" w:sz="0" w:space="0" w:color="auto"/>
      </w:divBdr>
      <w:divsChild>
        <w:div w:id="182133541">
          <w:marLeft w:val="0"/>
          <w:marRight w:val="0"/>
          <w:marTop w:val="0"/>
          <w:marBottom w:val="0"/>
          <w:divBdr>
            <w:top w:val="none" w:sz="0" w:space="0" w:color="auto"/>
            <w:left w:val="none" w:sz="0" w:space="0" w:color="auto"/>
            <w:bottom w:val="none" w:sz="0" w:space="0" w:color="auto"/>
            <w:right w:val="none" w:sz="0" w:space="0" w:color="auto"/>
          </w:divBdr>
        </w:div>
        <w:div w:id="233593742">
          <w:marLeft w:val="0"/>
          <w:marRight w:val="0"/>
          <w:marTop w:val="0"/>
          <w:marBottom w:val="0"/>
          <w:divBdr>
            <w:top w:val="none" w:sz="0" w:space="0" w:color="auto"/>
            <w:left w:val="none" w:sz="0" w:space="0" w:color="auto"/>
            <w:bottom w:val="none" w:sz="0" w:space="0" w:color="auto"/>
            <w:right w:val="none" w:sz="0" w:space="0" w:color="auto"/>
          </w:divBdr>
        </w:div>
        <w:div w:id="769204310">
          <w:marLeft w:val="0"/>
          <w:marRight w:val="0"/>
          <w:marTop w:val="0"/>
          <w:marBottom w:val="0"/>
          <w:divBdr>
            <w:top w:val="none" w:sz="0" w:space="0" w:color="auto"/>
            <w:left w:val="none" w:sz="0" w:space="0" w:color="auto"/>
            <w:bottom w:val="none" w:sz="0" w:space="0" w:color="auto"/>
            <w:right w:val="none" w:sz="0" w:space="0" w:color="auto"/>
          </w:divBdr>
        </w:div>
        <w:div w:id="1088385237">
          <w:marLeft w:val="0"/>
          <w:marRight w:val="0"/>
          <w:marTop w:val="0"/>
          <w:marBottom w:val="0"/>
          <w:divBdr>
            <w:top w:val="none" w:sz="0" w:space="0" w:color="auto"/>
            <w:left w:val="none" w:sz="0" w:space="0" w:color="auto"/>
            <w:bottom w:val="none" w:sz="0" w:space="0" w:color="auto"/>
            <w:right w:val="none" w:sz="0" w:space="0" w:color="auto"/>
          </w:divBdr>
        </w:div>
        <w:div w:id="1199900183">
          <w:marLeft w:val="0"/>
          <w:marRight w:val="0"/>
          <w:marTop w:val="0"/>
          <w:marBottom w:val="0"/>
          <w:divBdr>
            <w:top w:val="none" w:sz="0" w:space="0" w:color="auto"/>
            <w:left w:val="none" w:sz="0" w:space="0" w:color="auto"/>
            <w:bottom w:val="none" w:sz="0" w:space="0" w:color="auto"/>
            <w:right w:val="none" w:sz="0" w:space="0" w:color="auto"/>
          </w:divBdr>
        </w:div>
        <w:div w:id="1512643427">
          <w:marLeft w:val="0"/>
          <w:marRight w:val="0"/>
          <w:marTop w:val="0"/>
          <w:marBottom w:val="0"/>
          <w:divBdr>
            <w:top w:val="none" w:sz="0" w:space="0" w:color="auto"/>
            <w:left w:val="none" w:sz="0" w:space="0" w:color="auto"/>
            <w:bottom w:val="none" w:sz="0" w:space="0" w:color="auto"/>
            <w:right w:val="none" w:sz="0" w:space="0" w:color="auto"/>
          </w:divBdr>
        </w:div>
      </w:divsChild>
    </w:div>
    <w:div w:id="153616879">
      <w:bodyDiv w:val="1"/>
      <w:marLeft w:val="0"/>
      <w:marRight w:val="0"/>
      <w:marTop w:val="0"/>
      <w:marBottom w:val="0"/>
      <w:divBdr>
        <w:top w:val="none" w:sz="0" w:space="0" w:color="auto"/>
        <w:left w:val="none" w:sz="0" w:space="0" w:color="auto"/>
        <w:bottom w:val="none" w:sz="0" w:space="0" w:color="auto"/>
        <w:right w:val="none" w:sz="0" w:space="0" w:color="auto"/>
      </w:divBdr>
    </w:div>
    <w:div w:id="179439586">
      <w:bodyDiv w:val="1"/>
      <w:marLeft w:val="0"/>
      <w:marRight w:val="0"/>
      <w:marTop w:val="0"/>
      <w:marBottom w:val="0"/>
      <w:divBdr>
        <w:top w:val="none" w:sz="0" w:space="0" w:color="auto"/>
        <w:left w:val="none" w:sz="0" w:space="0" w:color="auto"/>
        <w:bottom w:val="none" w:sz="0" w:space="0" w:color="auto"/>
        <w:right w:val="none" w:sz="0" w:space="0" w:color="auto"/>
      </w:divBdr>
    </w:div>
    <w:div w:id="184489513">
      <w:bodyDiv w:val="1"/>
      <w:marLeft w:val="0"/>
      <w:marRight w:val="0"/>
      <w:marTop w:val="0"/>
      <w:marBottom w:val="0"/>
      <w:divBdr>
        <w:top w:val="none" w:sz="0" w:space="0" w:color="auto"/>
        <w:left w:val="none" w:sz="0" w:space="0" w:color="auto"/>
        <w:bottom w:val="none" w:sz="0" w:space="0" w:color="auto"/>
        <w:right w:val="none" w:sz="0" w:space="0" w:color="auto"/>
      </w:divBdr>
    </w:div>
    <w:div w:id="213856409">
      <w:bodyDiv w:val="1"/>
      <w:marLeft w:val="0"/>
      <w:marRight w:val="0"/>
      <w:marTop w:val="0"/>
      <w:marBottom w:val="0"/>
      <w:divBdr>
        <w:top w:val="none" w:sz="0" w:space="0" w:color="auto"/>
        <w:left w:val="none" w:sz="0" w:space="0" w:color="auto"/>
        <w:bottom w:val="none" w:sz="0" w:space="0" w:color="auto"/>
        <w:right w:val="none" w:sz="0" w:space="0" w:color="auto"/>
      </w:divBdr>
    </w:div>
    <w:div w:id="247420640">
      <w:bodyDiv w:val="1"/>
      <w:marLeft w:val="0"/>
      <w:marRight w:val="0"/>
      <w:marTop w:val="0"/>
      <w:marBottom w:val="0"/>
      <w:divBdr>
        <w:top w:val="none" w:sz="0" w:space="0" w:color="auto"/>
        <w:left w:val="none" w:sz="0" w:space="0" w:color="auto"/>
        <w:bottom w:val="none" w:sz="0" w:space="0" w:color="auto"/>
        <w:right w:val="none" w:sz="0" w:space="0" w:color="auto"/>
      </w:divBdr>
    </w:div>
    <w:div w:id="251091081">
      <w:bodyDiv w:val="1"/>
      <w:marLeft w:val="0"/>
      <w:marRight w:val="0"/>
      <w:marTop w:val="0"/>
      <w:marBottom w:val="0"/>
      <w:divBdr>
        <w:top w:val="none" w:sz="0" w:space="0" w:color="auto"/>
        <w:left w:val="none" w:sz="0" w:space="0" w:color="auto"/>
        <w:bottom w:val="none" w:sz="0" w:space="0" w:color="auto"/>
        <w:right w:val="none" w:sz="0" w:space="0" w:color="auto"/>
      </w:divBdr>
    </w:div>
    <w:div w:id="302079572">
      <w:bodyDiv w:val="1"/>
      <w:marLeft w:val="0"/>
      <w:marRight w:val="0"/>
      <w:marTop w:val="0"/>
      <w:marBottom w:val="0"/>
      <w:divBdr>
        <w:top w:val="none" w:sz="0" w:space="0" w:color="auto"/>
        <w:left w:val="none" w:sz="0" w:space="0" w:color="auto"/>
        <w:bottom w:val="none" w:sz="0" w:space="0" w:color="auto"/>
        <w:right w:val="none" w:sz="0" w:space="0" w:color="auto"/>
      </w:divBdr>
    </w:div>
    <w:div w:id="330717378">
      <w:bodyDiv w:val="1"/>
      <w:marLeft w:val="0"/>
      <w:marRight w:val="0"/>
      <w:marTop w:val="0"/>
      <w:marBottom w:val="0"/>
      <w:divBdr>
        <w:top w:val="none" w:sz="0" w:space="0" w:color="auto"/>
        <w:left w:val="none" w:sz="0" w:space="0" w:color="auto"/>
        <w:bottom w:val="none" w:sz="0" w:space="0" w:color="auto"/>
        <w:right w:val="none" w:sz="0" w:space="0" w:color="auto"/>
      </w:divBdr>
    </w:div>
    <w:div w:id="332150110">
      <w:bodyDiv w:val="1"/>
      <w:marLeft w:val="0"/>
      <w:marRight w:val="0"/>
      <w:marTop w:val="0"/>
      <w:marBottom w:val="0"/>
      <w:divBdr>
        <w:top w:val="none" w:sz="0" w:space="0" w:color="auto"/>
        <w:left w:val="none" w:sz="0" w:space="0" w:color="auto"/>
        <w:bottom w:val="none" w:sz="0" w:space="0" w:color="auto"/>
        <w:right w:val="none" w:sz="0" w:space="0" w:color="auto"/>
      </w:divBdr>
    </w:div>
    <w:div w:id="371424289">
      <w:bodyDiv w:val="1"/>
      <w:marLeft w:val="0"/>
      <w:marRight w:val="0"/>
      <w:marTop w:val="0"/>
      <w:marBottom w:val="0"/>
      <w:divBdr>
        <w:top w:val="none" w:sz="0" w:space="0" w:color="auto"/>
        <w:left w:val="none" w:sz="0" w:space="0" w:color="auto"/>
        <w:bottom w:val="none" w:sz="0" w:space="0" w:color="auto"/>
        <w:right w:val="none" w:sz="0" w:space="0" w:color="auto"/>
      </w:divBdr>
    </w:div>
    <w:div w:id="383913245">
      <w:bodyDiv w:val="1"/>
      <w:marLeft w:val="0"/>
      <w:marRight w:val="0"/>
      <w:marTop w:val="0"/>
      <w:marBottom w:val="0"/>
      <w:divBdr>
        <w:top w:val="none" w:sz="0" w:space="0" w:color="auto"/>
        <w:left w:val="none" w:sz="0" w:space="0" w:color="auto"/>
        <w:bottom w:val="none" w:sz="0" w:space="0" w:color="auto"/>
        <w:right w:val="none" w:sz="0" w:space="0" w:color="auto"/>
      </w:divBdr>
    </w:div>
    <w:div w:id="384111635">
      <w:bodyDiv w:val="1"/>
      <w:marLeft w:val="0"/>
      <w:marRight w:val="0"/>
      <w:marTop w:val="0"/>
      <w:marBottom w:val="0"/>
      <w:divBdr>
        <w:top w:val="none" w:sz="0" w:space="0" w:color="auto"/>
        <w:left w:val="none" w:sz="0" w:space="0" w:color="auto"/>
        <w:bottom w:val="none" w:sz="0" w:space="0" w:color="auto"/>
        <w:right w:val="none" w:sz="0" w:space="0" w:color="auto"/>
      </w:divBdr>
    </w:div>
    <w:div w:id="435054297">
      <w:bodyDiv w:val="1"/>
      <w:marLeft w:val="0"/>
      <w:marRight w:val="0"/>
      <w:marTop w:val="0"/>
      <w:marBottom w:val="0"/>
      <w:divBdr>
        <w:top w:val="none" w:sz="0" w:space="0" w:color="auto"/>
        <w:left w:val="none" w:sz="0" w:space="0" w:color="auto"/>
        <w:bottom w:val="none" w:sz="0" w:space="0" w:color="auto"/>
        <w:right w:val="none" w:sz="0" w:space="0" w:color="auto"/>
      </w:divBdr>
    </w:div>
    <w:div w:id="465313883">
      <w:bodyDiv w:val="1"/>
      <w:marLeft w:val="0"/>
      <w:marRight w:val="0"/>
      <w:marTop w:val="0"/>
      <w:marBottom w:val="0"/>
      <w:divBdr>
        <w:top w:val="none" w:sz="0" w:space="0" w:color="auto"/>
        <w:left w:val="none" w:sz="0" w:space="0" w:color="auto"/>
        <w:bottom w:val="none" w:sz="0" w:space="0" w:color="auto"/>
        <w:right w:val="none" w:sz="0" w:space="0" w:color="auto"/>
      </w:divBdr>
    </w:div>
    <w:div w:id="518810601">
      <w:bodyDiv w:val="1"/>
      <w:marLeft w:val="0"/>
      <w:marRight w:val="0"/>
      <w:marTop w:val="0"/>
      <w:marBottom w:val="0"/>
      <w:divBdr>
        <w:top w:val="none" w:sz="0" w:space="0" w:color="auto"/>
        <w:left w:val="none" w:sz="0" w:space="0" w:color="auto"/>
        <w:bottom w:val="none" w:sz="0" w:space="0" w:color="auto"/>
        <w:right w:val="none" w:sz="0" w:space="0" w:color="auto"/>
      </w:divBdr>
    </w:div>
    <w:div w:id="527836264">
      <w:bodyDiv w:val="1"/>
      <w:marLeft w:val="0"/>
      <w:marRight w:val="0"/>
      <w:marTop w:val="0"/>
      <w:marBottom w:val="0"/>
      <w:divBdr>
        <w:top w:val="none" w:sz="0" w:space="0" w:color="auto"/>
        <w:left w:val="none" w:sz="0" w:space="0" w:color="auto"/>
        <w:bottom w:val="none" w:sz="0" w:space="0" w:color="auto"/>
        <w:right w:val="none" w:sz="0" w:space="0" w:color="auto"/>
      </w:divBdr>
    </w:div>
    <w:div w:id="537552000">
      <w:bodyDiv w:val="1"/>
      <w:marLeft w:val="0"/>
      <w:marRight w:val="0"/>
      <w:marTop w:val="0"/>
      <w:marBottom w:val="0"/>
      <w:divBdr>
        <w:top w:val="none" w:sz="0" w:space="0" w:color="auto"/>
        <w:left w:val="none" w:sz="0" w:space="0" w:color="auto"/>
        <w:bottom w:val="none" w:sz="0" w:space="0" w:color="auto"/>
        <w:right w:val="none" w:sz="0" w:space="0" w:color="auto"/>
      </w:divBdr>
    </w:div>
    <w:div w:id="549651635">
      <w:bodyDiv w:val="1"/>
      <w:marLeft w:val="0"/>
      <w:marRight w:val="0"/>
      <w:marTop w:val="0"/>
      <w:marBottom w:val="0"/>
      <w:divBdr>
        <w:top w:val="none" w:sz="0" w:space="0" w:color="auto"/>
        <w:left w:val="none" w:sz="0" w:space="0" w:color="auto"/>
        <w:bottom w:val="none" w:sz="0" w:space="0" w:color="auto"/>
        <w:right w:val="none" w:sz="0" w:space="0" w:color="auto"/>
      </w:divBdr>
    </w:div>
    <w:div w:id="568031160">
      <w:bodyDiv w:val="1"/>
      <w:marLeft w:val="0"/>
      <w:marRight w:val="0"/>
      <w:marTop w:val="0"/>
      <w:marBottom w:val="0"/>
      <w:divBdr>
        <w:top w:val="none" w:sz="0" w:space="0" w:color="auto"/>
        <w:left w:val="none" w:sz="0" w:space="0" w:color="auto"/>
        <w:bottom w:val="none" w:sz="0" w:space="0" w:color="auto"/>
        <w:right w:val="none" w:sz="0" w:space="0" w:color="auto"/>
      </w:divBdr>
    </w:div>
    <w:div w:id="605385178">
      <w:bodyDiv w:val="1"/>
      <w:marLeft w:val="0"/>
      <w:marRight w:val="0"/>
      <w:marTop w:val="0"/>
      <w:marBottom w:val="0"/>
      <w:divBdr>
        <w:top w:val="none" w:sz="0" w:space="0" w:color="auto"/>
        <w:left w:val="none" w:sz="0" w:space="0" w:color="auto"/>
        <w:bottom w:val="none" w:sz="0" w:space="0" w:color="auto"/>
        <w:right w:val="none" w:sz="0" w:space="0" w:color="auto"/>
      </w:divBdr>
    </w:div>
    <w:div w:id="673921844">
      <w:bodyDiv w:val="1"/>
      <w:marLeft w:val="0"/>
      <w:marRight w:val="0"/>
      <w:marTop w:val="0"/>
      <w:marBottom w:val="0"/>
      <w:divBdr>
        <w:top w:val="none" w:sz="0" w:space="0" w:color="auto"/>
        <w:left w:val="none" w:sz="0" w:space="0" w:color="auto"/>
        <w:bottom w:val="none" w:sz="0" w:space="0" w:color="auto"/>
        <w:right w:val="none" w:sz="0" w:space="0" w:color="auto"/>
      </w:divBdr>
    </w:div>
    <w:div w:id="687490737">
      <w:bodyDiv w:val="1"/>
      <w:marLeft w:val="0"/>
      <w:marRight w:val="0"/>
      <w:marTop w:val="0"/>
      <w:marBottom w:val="0"/>
      <w:divBdr>
        <w:top w:val="none" w:sz="0" w:space="0" w:color="auto"/>
        <w:left w:val="none" w:sz="0" w:space="0" w:color="auto"/>
        <w:bottom w:val="none" w:sz="0" w:space="0" w:color="auto"/>
        <w:right w:val="none" w:sz="0" w:space="0" w:color="auto"/>
      </w:divBdr>
      <w:divsChild>
        <w:div w:id="502863094">
          <w:marLeft w:val="0"/>
          <w:marRight w:val="0"/>
          <w:marTop w:val="0"/>
          <w:marBottom w:val="0"/>
          <w:divBdr>
            <w:top w:val="none" w:sz="0" w:space="0" w:color="auto"/>
            <w:left w:val="none" w:sz="0" w:space="0" w:color="auto"/>
            <w:bottom w:val="none" w:sz="0" w:space="0" w:color="auto"/>
            <w:right w:val="none" w:sz="0" w:space="0" w:color="auto"/>
          </w:divBdr>
          <w:divsChild>
            <w:div w:id="881940503">
              <w:marLeft w:val="0"/>
              <w:marRight w:val="0"/>
              <w:marTop w:val="0"/>
              <w:marBottom w:val="0"/>
              <w:divBdr>
                <w:top w:val="none" w:sz="0" w:space="0" w:color="auto"/>
                <w:left w:val="none" w:sz="0" w:space="0" w:color="auto"/>
                <w:bottom w:val="none" w:sz="0" w:space="0" w:color="auto"/>
                <w:right w:val="none" w:sz="0" w:space="0" w:color="auto"/>
              </w:divBdr>
              <w:divsChild>
                <w:div w:id="1627658526">
                  <w:marLeft w:val="0"/>
                  <w:marRight w:val="0"/>
                  <w:marTop w:val="0"/>
                  <w:marBottom w:val="0"/>
                  <w:divBdr>
                    <w:top w:val="none" w:sz="0" w:space="0" w:color="auto"/>
                    <w:left w:val="none" w:sz="0" w:space="0" w:color="auto"/>
                    <w:bottom w:val="none" w:sz="0" w:space="0" w:color="auto"/>
                    <w:right w:val="none" w:sz="0" w:space="0" w:color="auto"/>
                  </w:divBdr>
                  <w:divsChild>
                    <w:div w:id="1317415154">
                      <w:marLeft w:val="0"/>
                      <w:marRight w:val="0"/>
                      <w:marTop w:val="0"/>
                      <w:marBottom w:val="0"/>
                      <w:divBdr>
                        <w:top w:val="none" w:sz="0" w:space="0" w:color="auto"/>
                        <w:left w:val="none" w:sz="0" w:space="0" w:color="auto"/>
                        <w:bottom w:val="none" w:sz="0" w:space="0" w:color="auto"/>
                        <w:right w:val="none" w:sz="0" w:space="0" w:color="auto"/>
                      </w:divBdr>
                      <w:divsChild>
                        <w:div w:id="247859084">
                          <w:marLeft w:val="0"/>
                          <w:marRight w:val="0"/>
                          <w:marTop w:val="0"/>
                          <w:marBottom w:val="0"/>
                          <w:divBdr>
                            <w:top w:val="none" w:sz="0" w:space="0" w:color="auto"/>
                            <w:left w:val="none" w:sz="0" w:space="0" w:color="auto"/>
                            <w:bottom w:val="none" w:sz="0" w:space="0" w:color="auto"/>
                            <w:right w:val="none" w:sz="0" w:space="0" w:color="auto"/>
                          </w:divBdr>
                        </w:div>
                        <w:div w:id="316350942">
                          <w:marLeft w:val="0"/>
                          <w:marRight w:val="0"/>
                          <w:marTop w:val="0"/>
                          <w:marBottom w:val="0"/>
                          <w:divBdr>
                            <w:top w:val="none" w:sz="0" w:space="0" w:color="auto"/>
                            <w:left w:val="none" w:sz="0" w:space="0" w:color="auto"/>
                            <w:bottom w:val="none" w:sz="0" w:space="0" w:color="auto"/>
                            <w:right w:val="none" w:sz="0" w:space="0" w:color="auto"/>
                          </w:divBdr>
                        </w:div>
                        <w:div w:id="421494091">
                          <w:marLeft w:val="0"/>
                          <w:marRight w:val="0"/>
                          <w:marTop w:val="0"/>
                          <w:marBottom w:val="0"/>
                          <w:divBdr>
                            <w:top w:val="none" w:sz="0" w:space="0" w:color="auto"/>
                            <w:left w:val="none" w:sz="0" w:space="0" w:color="auto"/>
                            <w:bottom w:val="none" w:sz="0" w:space="0" w:color="auto"/>
                            <w:right w:val="none" w:sz="0" w:space="0" w:color="auto"/>
                          </w:divBdr>
                        </w:div>
                        <w:div w:id="964501867">
                          <w:marLeft w:val="0"/>
                          <w:marRight w:val="0"/>
                          <w:marTop w:val="0"/>
                          <w:marBottom w:val="0"/>
                          <w:divBdr>
                            <w:top w:val="none" w:sz="0" w:space="0" w:color="auto"/>
                            <w:left w:val="none" w:sz="0" w:space="0" w:color="auto"/>
                            <w:bottom w:val="none" w:sz="0" w:space="0" w:color="auto"/>
                            <w:right w:val="none" w:sz="0" w:space="0" w:color="auto"/>
                          </w:divBdr>
                        </w:div>
                        <w:div w:id="1038820649">
                          <w:marLeft w:val="0"/>
                          <w:marRight w:val="0"/>
                          <w:marTop w:val="0"/>
                          <w:marBottom w:val="0"/>
                          <w:divBdr>
                            <w:top w:val="none" w:sz="0" w:space="0" w:color="auto"/>
                            <w:left w:val="none" w:sz="0" w:space="0" w:color="auto"/>
                            <w:bottom w:val="none" w:sz="0" w:space="0" w:color="auto"/>
                            <w:right w:val="none" w:sz="0" w:space="0" w:color="auto"/>
                          </w:divBdr>
                        </w:div>
                        <w:div w:id="1092626708">
                          <w:marLeft w:val="0"/>
                          <w:marRight w:val="0"/>
                          <w:marTop w:val="0"/>
                          <w:marBottom w:val="0"/>
                          <w:divBdr>
                            <w:top w:val="none" w:sz="0" w:space="0" w:color="auto"/>
                            <w:left w:val="none" w:sz="0" w:space="0" w:color="auto"/>
                            <w:bottom w:val="none" w:sz="0" w:space="0" w:color="auto"/>
                            <w:right w:val="none" w:sz="0" w:space="0" w:color="auto"/>
                          </w:divBdr>
                        </w:div>
                        <w:div w:id="1254507181">
                          <w:marLeft w:val="0"/>
                          <w:marRight w:val="0"/>
                          <w:marTop w:val="0"/>
                          <w:marBottom w:val="0"/>
                          <w:divBdr>
                            <w:top w:val="none" w:sz="0" w:space="0" w:color="auto"/>
                            <w:left w:val="none" w:sz="0" w:space="0" w:color="auto"/>
                            <w:bottom w:val="none" w:sz="0" w:space="0" w:color="auto"/>
                            <w:right w:val="none" w:sz="0" w:space="0" w:color="auto"/>
                          </w:divBdr>
                          <w:divsChild>
                            <w:div w:id="567686386">
                              <w:marLeft w:val="0"/>
                              <w:marRight w:val="0"/>
                              <w:marTop w:val="0"/>
                              <w:marBottom w:val="0"/>
                              <w:divBdr>
                                <w:top w:val="none" w:sz="0" w:space="0" w:color="auto"/>
                                <w:left w:val="none" w:sz="0" w:space="0" w:color="auto"/>
                                <w:bottom w:val="none" w:sz="0" w:space="0" w:color="auto"/>
                                <w:right w:val="none" w:sz="0" w:space="0" w:color="auto"/>
                              </w:divBdr>
                            </w:div>
                            <w:div w:id="2095123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374699">
                          <w:marLeft w:val="0"/>
                          <w:marRight w:val="0"/>
                          <w:marTop w:val="0"/>
                          <w:marBottom w:val="0"/>
                          <w:divBdr>
                            <w:top w:val="none" w:sz="0" w:space="0" w:color="auto"/>
                            <w:left w:val="none" w:sz="0" w:space="0" w:color="auto"/>
                            <w:bottom w:val="none" w:sz="0" w:space="0" w:color="auto"/>
                            <w:right w:val="none" w:sz="0" w:space="0" w:color="auto"/>
                          </w:divBdr>
                        </w:div>
                        <w:div w:id="1402410097">
                          <w:marLeft w:val="0"/>
                          <w:marRight w:val="0"/>
                          <w:marTop w:val="0"/>
                          <w:marBottom w:val="0"/>
                          <w:divBdr>
                            <w:top w:val="none" w:sz="0" w:space="0" w:color="auto"/>
                            <w:left w:val="none" w:sz="0" w:space="0" w:color="auto"/>
                            <w:bottom w:val="none" w:sz="0" w:space="0" w:color="auto"/>
                            <w:right w:val="none" w:sz="0" w:space="0" w:color="auto"/>
                          </w:divBdr>
                        </w:div>
                        <w:div w:id="1571891332">
                          <w:marLeft w:val="0"/>
                          <w:marRight w:val="0"/>
                          <w:marTop w:val="0"/>
                          <w:marBottom w:val="0"/>
                          <w:divBdr>
                            <w:top w:val="none" w:sz="0" w:space="0" w:color="auto"/>
                            <w:left w:val="none" w:sz="0" w:space="0" w:color="auto"/>
                            <w:bottom w:val="none" w:sz="0" w:space="0" w:color="auto"/>
                            <w:right w:val="none" w:sz="0" w:space="0" w:color="auto"/>
                          </w:divBdr>
                          <w:divsChild>
                            <w:div w:id="1642692599">
                              <w:marLeft w:val="0"/>
                              <w:marRight w:val="0"/>
                              <w:marTop w:val="0"/>
                              <w:marBottom w:val="0"/>
                              <w:divBdr>
                                <w:top w:val="none" w:sz="0" w:space="0" w:color="auto"/>
                                <w:left w:val="none" w:sz="0" w:space="0" w:color="auto"/>
                                <w:bottom w:val="none" w:sz="0" w:space="0" w:color="auto"/>
                                <w:right w:val="none" w:sz="0" w:space="0" w:color="auto"/>
                              </w:divBdr>
                              <w:divsChild>
                                <w:div w:id="1569151325">
                                  <w:marLeft w:val="0"/>
                                  <w:marRight w:val="0"/>
                                  <w:marTop w:val="0"/>
                                  <w:marBottom w:val="0"/>
                                  <w:divBdr>
                                    <w:top w:val="none" w:sz="0" w:space="0" w:color="auto"/>
                                    <w:left w:val="none" w:sz="0" w:space="0" w:color="auto"/>
                                    <w:bottom w:val="none" w:sz="0" w:space="0" w:color="auto"/>
                                    <w:right w:val="none" w:sz="0" w:space="0" w:color="auto"/>
                                  </w:divBdr>
                                  <w:divsChild>
                                    <w:div w:id="440153651">
                                      <w:marLeft w:val="0"/>
                                      <w:marRight w:val="0"/>
                                      <w:marTop w:val="0"/>
                                      <w:marBottom w:val="0"/>
                                      <w:divBdr>
                                        <w:top w:val="none" w:sz="0" w:space="0" w:color="auto"/>
                                        <w:left w:val="none" w:sz="0" w:space="0" w:color="auto"/>
                                        <w:bottom w:val="none" w:sz="0" w:space="0" w:color="auto"/>
                                        <w:right w:val="none" w:sz="0" w:space="0" w:color="auto"/>
                                      </w:divBdr>
                                      <w:divsChild>
                                        <w:div w:id="1486777379">
                                          <w:marLeft w:val="0"/>
                                          <w:marRight w:val="0"/>
                                          <w:marTop w:val="0"/>
                                          <w:marBottom w:val="0"/>
                                          <w:divBdr>
                                            <w:top w:val="none" w:sz="0" w:space="0" w:color="auto"/>
                                            <w:left w:val="none" w:sz="0" w:space="0" w:color="auto"/>
                                            <w:bottom w:val="none" w:sz="0" w:space="0" w:color="auto"/>
                                            <w:right w:val="none" w:sz="0" w:space="0" w:color="auto"/>
                                          </w:divBdr>
                                          <w:divsChild>
                                            <w:div w:id="810371173">
                                              <w:marLeft w:val="0"/>
                                              <w:marRight w:val="0"/>
                                              <w:marTop w:val="0"/>
                                              <w:marBottom w:val="0"/>
                                              <w:divBdr>
                                                <w:top w:val="none" w:sz="0" w:space="0" w:color="auto"/>
                                                <w:left w:val="none" w:sz="0" w:space="0" w:color="auto"/>
                                                <w:bottom w:val="none" w:sz="0" w:space="0" w:color="auto"/>
                                                <w:right w:val="none" w:sz="0" w:space="0" w:color="auto"/>
                                              </w:divBdr>
                                              <w:divsChild>
                                                <w:div w:id="562059070">
                                                  <w:marLeft w:val="0"/>
                                                  <w:marRight w:val="0"/>
                                                  <w:marTop w:val="0"/>
                                                  <w:marBottom w:val="0"/>
                                                  <w:divBdr>
                                                    <w:top w:val="none" w:sz="0" w:space="0" w:color="auto"/>
                                                    <w:left w:val="none" w:sz="0" w:space="0" w:color="auto"/>
                                                    <w:bottom w:val="none" w:sz="0" w:space="0" w:color="auto"/>
                                                    <w:right w:val="none" w:sz="0" w:space="0" w:color="auto"/>
                                                  </w:divBdr>
                                                  <w:divsChild>
                                                    <w:div w:id="1084450017">
                                                      <w:marLeft w:val="0"/>
                                                      <w:marRight w:val="0"/>
                                                      <w:marTop w:val="0"/>
                                                      <w:marBottom w:val="0"/>
                                                      <w:divBdr>
                                                        <w:top w:val="none" w:sz="0" w:space="0" w:color="auto"/>
                                                        <w:left w:val="none" w:sz="0" w:space="0" w:color="auto"/>
                                                        <w:bottom w:val="none" w:sz="0" w:space="0" w:color="auto"/>
                                                        <w:right w:val="none" w:sz="0" w:space="0" w:color="auto"/>
                                                      </w:divBdr>
                                                      <w:divsChild>
                                                        <w:div w:id="1831172430">
                                                          <w:marLeft w:val="0"/>
                                                          <w:marRight w:val="0"/>
                                                          <w:marTop w:val="0"/>
                                                          <w:marBottom w:val="0"/>
                                                          <w:divBdr>
                                                            <w:top w:val="none" w:sz="0" w:space="0" w:color="auto"/>
                                                            <w:left w:val="none" w:sz="0" w:space="0" w:color="auto"/>
                                                            <w:bottom w:val="none" w:sz="0" w:space="0" w:color="auto"/>
                                                            <w:right w:val="none" w:sz="0" w:space="0" w:color="auto"/>
                                                          </w:divBdr>
                                                          <w:divsChild>
                                                            <w:div w:id="18585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11126">
                                                  <w:marLeft w:val="0"/>
                                                  <w:marRight w:val="0"/>
                                                  <w:marTop w:val="0"/>
                                                  <w:marBottom w:val="0"/>
                                                  <w:divBdr>
                                                    <w:top w:val="none" w:sz="0" w:space="0" w:color="auto"/>
                                                    <w:left w:val="none" w:sz="0" w:space="0" w:color="auto"/>
                                                    <w:bottom w:val="none" w:sz="0" w:space="0" w:color="auto"/>
                                                    <w:right w:val="none" w:sz="0" w:space="0" w:color="auto"/>
                                                  </w:divBdr>
                                                  <w:divsChild>
                                                    <w:div w:id="12672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385372">
                          <w:marLeft w:val="0"/>
                          <w:marRight w:val="0"/>
                          <w:marTop w:val="0"/>
                          <w:marBottom w:val="0"/>
                          <w:divBdr>
                            <w:top w:val="none" w:sz="0" w:space="0" w:color="auto"/>
                            <w:left w:val="none" w:sz="0" w:space="0" w:color="auto"/>
                            <w:bottom w:val="none" w:sz="0" w:space="0" w:color="auto"/>
                            <w:right w:val="none" w:sz="0" w:space="0" w:color="auto"/>
                          </w:divBdr>
                        </w:div>
                        <w:div w:id="1633054553">
                          <w:marLeft w:val="0"/>
                          <w:marRight w:val="0"/>
                          <w:marTop w:val="0"/>
                          <w:marBottom w:val="0"/>
                          <w:divBdr>
                            <w:top w:val="none" w:sz="0" w:space="0" w:color="auto"/>
                            <w:left w:val="none" w:sz="0" w:space="0" w:color="auto"/>
                            <w:bottom w:val="none" w:sz="0" w:space="0" w:color="auto"/>
                            <w:right w:val="none" w:sz="0" w:space="0" w:color="auto"/>
                          </w:divBdr>
                        </w:div>
                        <w:div w:id="2096391344">
                          <w:marLeft w:val="0"/>
                          <w:marRight w:val="0"/>
                          <w:marTop w:val="0"/>
                          <w:marBottom w:val="0"/>
                          <w:divBdr>
                            <w:top w:val="none" w:sz="0" w:space="0" w:color="auto"/>
                            <w:left w:val="none" w:sz="0" w:space="0" w:color="auto"/>
                            <w:bottom w:val="none" w:sz="0" w:space="0" w:color="auto"/>
                            <w:right w:val="none" w:sz="0" w:space="0" w:color="auto"/>
                          </w:divBdr>
                          <w:divsChild>
                            <w:div w:id="124084754">
                              <w:marLeft w:val="0"/>
                              <w:marRight w:val="0"/>
                              <w:marTop w:val="0"/>
                              <w:marBottom w:val="0"/>
                              <w:divBdr>
                                <w:top w:val="none" w:sz="0" w:space="0" w:color="auto"/>
                                <w:left w:val="none" w:sz="0" w:space="0" w:color="auto"/>
                                <w:bottom w:val="none" w:sz="0" w:space="0" w:color="auto"/>
                                <w:right w:val="none" w:sz="0" w:space="0" w:color="auto"/>
                              </w:divBdr>
                              <w:divsChild>
                                <w:div w:id="429470684">
                                  <w:marLeft w:val="0"/>
                                  <w:marRight w:val="0"/>
                                  <w:marTop w:val="0"/>
                                  <w:marBottom w:val="0"/>
                                  <w:divBdr>
                                    <w:top w:val="none" w:sz="0" w:space="0" w:color="auto"/>
                                    <w:left w:val="none" w:sz="0" w:space="0" w:color="auto"/>
                                    <w:bottom w:val="none" w:sz="0" w:space="0" w:color="auto"/>
                                    <w:right w:val="none" w:sz="0" w:space="0" w:color="auto"/>
                                  </w:divBdr>
                                  <w:divsChild>
                                    <w:div w:id="1806847205">
                                      <w:marLeft w:val="0"/>
                                      <w:marRight w:val="0"/>
                                      <w:marTop w:val="0"/>
                                      <w:marBottom w:val="0"/>
                                      <w:divBdr>
                                        <w:top w:val="none" w:sz="0" w:space="0" w:color="auto"/>
                                        <w:left w:val="none" w:sz="0" w:space="0" w:color="auto"/>
                                        <w:bottom w:val="none" w:sz="0" w:space="0" w:color="auto"/>
                                        <w:right w:val="none" w:sz="0" w:space="0" w:color="auto"/>
                                      </w:divBdr>
                                      <w:divsChild>
                                        <w:div w:id="923148616">
                                          <w:marLeft w:val="0"/>
                                          <w:marRight w:val="0"/>
                                          <w:marTop w:val="0"/>
                                          <w:marBottom w:val="0"/>
                                          <w:divBdr>
                                            <w:top w:val="none" w:sz="0" w:space="0" w:color="auto"/>
                                            <w:left w:val="none" w:sz="0" w:space="0" w:color="auto"/>
                                            <w:bottom w:val="none" w:sz="0" w:space="0" w:color="auto"/>
                                            <w:right w:val="none" w:sz="0" w:space="0" w:color="auto"/>
                                          </w:divBdr>
                                          <w:divsChild>
                                            <w:div w:id="1974557697">
                                              <w:marLeft w:val="0"/>
                                              <w:marRight w:val="0"/>
                                              <w:marTop w:val="0"/>
                                              <w:marBottom w:val="0"/>
                                              <w:divBdr>
                                                <w:top w:val="none" w:sz="0" w:space="0" w:color="auto"/>
                                                <w:left w:val="none" w:sz="0" w:space="0" w:color="auto"/>
                                                <w:bottom w:val="none" w:sz="0" w:space="0" w:color="auto"/>
                                                <w:right w:val="none" w:sz="0" w:space="0" w:color="auto"/>
                                              </w:divBdr>
                                              <w:divsChild>
                                                <w:div w:id="180555060">
                                                  <w:marLeft w:val="0"/>
                                                  <w:marRight w:val="0"/>
                                                  <w:marTop w:val="0"/>
                                                  <w:marBottom w:val="0"/>
                                                  <w:divBdr>
                                                    <w:top w:val="none" w:sz="0" w:space="0" w:color="auto"/>
                                                    <w:left w:val="none" w:sz="0" w:space="0" w:color="auto"/>
                                                    <w:bottom w:val="none" w:sz="0" w:space="0" w:color="auto"/>
                                                    <w:right w:val="none" w:sz="0" w:space="0" w:color="auto"/>
                                                  </w:divBdr>
                                                  <w:divsChild>
                                                    <w:div w:id="546946">
                                                      <w:marLeft w:val="0"/>
                                                      <w:marRight w:val="0"/>
                                                      <w:marTop w:val="0"/>
                                                      <w:marBottom w:val="0"/>
                                                      <w:divBdr>
                                                        <w:top w:val="none" w:sz="0" w:space="0" w:color="auto"/>
                                                        <w:left w:val="none" w:sz="0" w:space="0" w:color="auto"/>
                                                        <w:bottom w:val="none" w:sz="0" w:space="0" w:color="auto"/>
                                                        <w:right w:val="none" w:sz="0" w:space="0" w:color="auto"/>
                                                      </w:divBdr>
                                                      <w:divsChild>
                                                        <w:div w:id="1582835344">
                                                          <w:marLeft w:val="0"/>
                                                          <w:marRight w:val="0"/>
                                                          <w:marTop w:val="0"/>
                                                          <w:marBottom w:val="0"/>
                                                          <w:divBdr>
                                                            <w:top w:val="none" w:sz="0" w:space="0" w:color="auto"/>
                                                            <w:left w:val="none" w:sz="0" w:space="0" w:color="auto"/>
                                                            <w:bottom w:val="none" w:sz="0" w:space="0" w:color="auto"/>
                                                            <w:right w:val="none" w:sz="0" w:space="0" w:color="auto"/>
                                                          </w:divBdr>
                                                          <w:divsChild>
                                                            <w:div w:id="6895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43000">
                                                  <w:marLeft w:val="0"/>
                                                  <w:marRight w:val="0"/>
                                                  <w:marTop w:val="0"/>
                                                  <w:marBottom w:val="0"/>
                                                  <w:divBdr>
                                                    <w:top w:val="none" w:sz="0" w:space="0" w:color="auto"/>
                                                    <w:left w:val="none" w:sz="0" w:space="0" w:color="auto"/>
                                                    <w:bottom w:val="none" w:sz="0" w:space="0" w:color="auto"/>
                                                    <w:right w:val="none" w:sz="0" w:space="0" w:color="auto"/>
                                                  </w:divBdr>
                                                  <w:divsChild>
                                                    <w:div w:id="134185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279461">
          <w:marLeft w:val="0"/>
          <w:marRight w:val="0"/>
          <w:marTop w:val="0"/>
          <w:marBottom w:val="0"/>
          <w:divBdr>
            <w:top w:val="none" w:sz="0" w:space="0" w:color="auto"/>
            <w:left w:val="none" w:sz="0" w:space="0" w:color="auto"/>
            <w:bottom w:val="none" w:sz="0" w:space="0" w:color="auto"/>
            <w:right w:val="none" w:sz="0" w:space="0" w:color="auto"/>
          </w:divBdr>
        </w:div>
      </w:divsChild>
    </w:div>
    <w:div w:id="708802519">
      <w:bodyDiv w:val="1"/>
      <w:marLeft w:val="0"/>
      <w:marRight w:val="0"/>
      <w:marTop w:val="0"/>
      <w:marBottom w:val="0"/>
      <w:divBdr>
        <w:top w:val="none" w:sz="0" w:space="0" w:color="auto"/>
        <w:left w:val="none" w:sz="0" w:space="0" w:color="auto"/>
        <w:bottom w:val="none" w:sz="0" w:space="0" w:color="auto"/>
        <w:right w:val="none" w:sz="0" w:space="0" w:color="auto"/>
      </w:divBdr>
    </w:div>
    <w:div w:id="750273283">
      <w:bodyDiv w:val="1"/>
      <w:marLeft w:val="0"/>
      <w:marRight w:val="0"/>
      <w:marTop w:val="0"/>
      <w:marBottom w:val="0"/>
      <w:divBdr>
        <w:top w:val="none" w:sz="0" w:space="0" w:color="auto"/>
        <w:left w:val="none" w:sz="0" w:space="0" w:color="auto"/>
        <w:bottom w:val="none" w:sz="0" w:space="0" w:color="auto"/>
        <w:right w:val="none" w:sz="0" w:space="0" w:color="auto"/>
      </w:divBdr>
    </w:div>
    <w:div w:id="793793634">
      <w:bodyDiv w:val="1"/>
      <w:marLeft w:val="0"/>
      <w:marRight w:val="0"/>
      <w:marTop w:val="0"/>
      <w:marBottom w:val="0"/>
      <w:divBdr>
        <w:top w:val="none" w:sz="0" w:space="0" w:color="auto"/>
        <w:left w:val="none" w:sz="0" w:space="0" w:color="auto"/>
        <w:bottom w:val="none" w:sz="0" w:space="0" w:color="auto"/>
        <w:right w:val="none" w:sz="0" w:space="0" w:color="auto"/>
      </w:divBdr>
    </w:div>
    <w:div w:id="804347470">
      <w:bodyDiv w:val="1"/>
      <w:marLeft w:val="0"/>
      <w:marRight w:val="0"/>
      <w:marTop w:val="0"/>
      <w:marBottom w:val="0"/>
      <w:divBdr>
        <w:top w:val="none" w:sz="0" w:space="0" w:color="auto"/>
        <w:left w:val="none" w:sz="0" w:space="0" w:color="auto"/>
        <w:bottom w:val="none" w:sz="0" w:space="0" w:color="auto"/>
        <w:right w:val="none" w:sz="0" w:space="0" w:color="auto"/>
      </w:divBdr>
      <w:divsChild>
        <w:div w:id="424961576">
          <w:marLeft w:val="0"/>
          <w:marRight w:val="0"/>
          <w:marTop w:val="0"/>
          <w:marBottom w:val="0"/>
          <w:divBdr>
            <w:top w:val="none" w:sz="0" w:space="0" w:color="auto"/>
            <w:left w:val="none" w:sz="0" w:space="0" w:color="auto"/>
            <w:bottom w:val="none" w:sz="0" w:space="0" w:color="auto"/>
            <w:right w:val="none" w:sz="0" w:space="0" w:color="auto"/>
          </w:divBdr>
        </w:div>
      </w:divsChild>
    </w:div>
    <w:div w:id="816343842">
      <w:bodyDiv w:val="1"/>
      <w:marLeft w:val="0"/>
      <w:marRight w:val="0"/>
      <w:marTop w:val="0"/>
      <w:marBottom w:val="0"/>
      <w:divBdr>
        <w:top w:val="none" w:sz="0" w:space="0" w:color="auto"/>
        <w:left w:val="none" w:sz="0" w:space="0" w:color="auto"/>
        <w:bottom w:val="none" w:sz="0" w:space="0" w:color="auto"/>
        <w:right w:val="none" w:sz="0" w:space="0" w:color="auto"/>
      </w:divBdr>
      <w:divsChild>
        <w:div w:id="908806606">
          <w:marLeft w:val="0"/>
          <w:marRight w:val="0"/>
          <w:marTop w:val="0"/>
          <w:marBottom w:val="0"/>
          <w:divBdr>
            <w:top w:val="none" w:sz="0" w:space="0" w:color="auto"/>
            <w:left w:val="none" w:sz="0" w:space="0" w:color="auto"/>
            <w:bottom w:val="none" w:sz="0" w:space="0" w:color="auto"/>
            <w:right w:val="none" w:sz="0" w:space="0" w:color="auto"/>
          </w:divBdr>
        </w:div>
        <w:div w:id="68696288">
          <w:marLeft w:val="0"/>
          <w:marRight w:val="0"/>
          <w:marTop w:val="0"/>
          <w:marBottom w:val="0"/>
          <w:divBdr>
            <w:top w:val="none" w:sz="0" w:space="0" w:color="auto"/>
            <w:left w:val="none" w:sz="0" w:space="0" w:color="auto"/>
            <w:bottom w:val="none" w:sz="0" w:space="0" w:color="auto"/>
            <w:right w:val="none" w:sz="0" w:space="0" w:color="auto"/>
          </w:divBdr>
        </w:div>
        <w:div w:id="52702140">
          <w:marLeft w:val="0"/>
          <w:marRight w:val="0"/>
          <w:marTop w:val="0"/>
          <w:marBottom w:val="0"/>
          <w:divBdr>
            <w:top w:val="none" w:sz="0" w:space="0" w:color="auto"/>
            <w:left w:val="none" w:sz="0" w:space="0" w:color="auto"/>
            <w:bottom w:val="none" w:sz="0" w:space="0" w:color="auto"/>
            <w:right w:val="none" w:sz="0" w:space="0" w:color="auto"/>
          </w:divBdr>
        </w:div>
        <w:div w:id="1822116149">
          <w:marLeft w:val="0"/>
          <w:marRight w:val="0"/>
          <w:marTop w:val="0"/>
          <w:marBottom w:val="0"/>
          <w:divBdr>
            <w:top w:val="none" w:sz="0" w:space="0" w:color="auto"/>
            <w:left w:val="none" w:sz="0" w:space="0" w:color="auto"/>
            <w:bottom w:val="none" w:sz="0" w:space="0" w:color="auto"/>
            <w:right w:val="none" w:sz="0" w:space="0" w:color="auto"/>
          </w:divBdr>
        </w:div>
        <w:div w:id="625284202">
          <w:marLeft w:val="0"/>
          <w:marRight w:val="0"/>
          <w:marTop w:val="0"/>
          <w:marBottom w:val="0"/>
          <w:divBdr>
            <w:top w:val="none" w:sz="0" w:space="0" w:color="auto"/>
            <w:left w:val="none" w:sz="0" w:space="0" w:color="auto"/>
            <w:bottom w:val="none" w:sz="0" w:space="0" w:color="auto"/>
            <w:right w:val="none" w:sz="0" w:space="0" w:color="auto"/>
          </w:divBdr>
        </w:div>
        <w:div w:id="992366005">
          <w:marLeft w:val="0"/>
          <w:marRight w:val="0"/>
          <w:marTop w:val="0"/>
          <w:marBottom w:val="0"/>
          <w:divBdr>
            <w:top w:val="none" w:sz="0" w:space="0" w:color="auto"/>
            <w:left w:val="none" w:sz="0" w:space="0" w:color="auto"/>
            <w:bottom w:val="none" w:sz="0" w:space="0" w:color="auto"/>
            <w:right w:val="none" w:sz="0" w:space="0" w:color="auto"/>
          </w:divBdr>
        </w:div>
      </w:divsChild>
    </w:div>
    <w:div w:id="867524458">
      <w:bodyDiv w:val="1"/>
      <w:marLeft w:val="0"/>
      <w:marRight w:val="0"/>
      <w:marTop w:val="0"/>
      <w:marBottom w:val="0"/>
      <w:divBdr>
        <w:top w:val="none" w:sz="0" w:space="0" w:color="auto"/>
        <w:left w:val="none" w:sz="0" w:space="0" w:color="auto"/>
        <w:bottom w:val="none" w:sz="0" w:space="0" w:color="auto"/>
        <w:right w:val="none" w:sz="0" w:space="0" w:color="auto"/>
      </w:divBdr>
    </w:div>
    <w:div w:id="941499270">
      <w:bodyDiv w:val="1"/>
      <w:marLeft w:val="0"/>
      <w:marRight w:val="0"/>
      <w:marTop w:val="0"/>
      <w:marBottom w:val="0"/>
      <w:divBdr>
        <w:top w:val="none" w:sz="0" w:space="0" w:color="auto"/>
        <w:left w:val="none" w:sz="0" w:space="0" w:color="auto"/>
        <w:bottom w:val="none" w:sz="0" w:space="0" w:color="auto"/>
        <w:right w:val="none" w:sz="0" w:space="0" w:color="auto"/>
      </w:divBdr>
    </w:div>
    <w:div w:id="947353466">
      <w:bodyDiv w:val="1"/>
      <w:marLeft w:val="0"/>
      <w:marRight w:val="0"/>
      <w:marTop w:val="0"/>
      <w:marBottom w:val="0"/>
      <w:divBdr>
        <w:top w:val="none" w:sz="0" w:space="0" w:color="auto"/>
        <w:left w:val="none" w:sz="0" w:space="0" w:color="auto"/>
        <w:bottom w:val="none" w:sz="0" w:space="0" w:color="auto"/>
        <w:right w:val="none" w:sz="0" w:space="0" w:color="auto"/>
      </w:divBdr>
    </w:div>
    <w:div w:id="954675388">
      <w:bodyDiv w:val="1"/>
      <w:marLeft w:val="0"/>
      <w:marRight w:val="0"/>
      <w:marTop w:val="0"/>
      <w:marBottom w:val="0"/>
      <w:divBdr>
        <w:top w:val="none" w:sz="0" w:space="0" w:color="auto"/>
        <w:left w:val="none" w:sz="0" w:space="0" w:color="auto"/>
        <w:bottom w:val="none" w:sz="0" w:space="0" w:color="auto"/>
        <w:right w:val="none" w:sz="0" w:space="0" w:color="auto"/>
      </w:divBdr>
    </w:div>
    <w:div w:id="1009405447">
      <w:bodyDiv w:val="1"/>
      <w:marLeft w:val="0"/>
      <w:marRight w:val="0"/>
      <w:marTop w:val="0"/>
      <w:marBottom w:val="0"/>
      <w:divBdr>
        <w:top w:val="none" w:sz="0" w:space="0" w:color="auto"/>
        <w:left w:val="none" w:sz="0" w:space="0" w:color="auto"/>
        <w:bottom w:val="none" w:sz="0" w:space="0" w:color="auto"/>
        <w:right w:val="none" w:sz="0" w:space="0" w:color="auto"/>
      </w:divBdr>
    </w:div>
    <w:div w:id="1024553403">
      <w:bodyDiv w:val="1"/>
      <w:marLeft w:val="0"/>
      <w:marRight w:val="0"/>
      <w:marTop w:val="0"/>
      <w:marBottom w:val="0"/>
      <w:divBdr>
        <w:top w:val="none" w:sz="0" w:space="0" w:color="auto"/>
        <w:left w:val="none" w:sz="0" w:space="0" w:color="auto"/>
        <w:bottom w:val="none" w:sz="0" w:space="0" w:color="auto"/>
        <w:right w:val="none" w:sz="0" w:space="0" w:color="auto"/>
      </w:divBdr>
    </w:div>
    <w:div w:id="1062677286">
      <w:bodyDiv w:val="1"/>
      <w:marLeft w:val="0"/>
      <w:marRight w:val="0"/>
      <w:marTop w:val="0"/>
      <w:marBottom w:val="0"/>
      <w:divBdr>
        <w:top w:val="none" w:sz="0" w:space="0" w:color="auto"/>
        <w:left w:val="none" w:sz="0" w:space="0" w:color="auto"/>
        <w:bottom w:val="none" w:sz="0" w:space="0" w:color="auto"/>
        <w:right w:val="none" w:sz="0" w:space="0" w:color="auto"/>
      </w:divBdr>
    </w:div>
    <w:div w:id="1127698600">
      <w:bodyDiv w:val="1"/>
      <w:marLeft w:val="0"/>
      <w:marRight w:val="0"/>
      <w:marTop w:val="0"/>
      <w:marBottom w:val="0"/>
      <w:divBdr>
        <w:top w:val="none" w:sz="0" w:space="0" w:color="auto"/>
        <w:left w:val="none" w:sz="0" w:space="0" w:color="auto"/>
        <w:bottom w:val="none" w:sz="0" w:space="0" w:color="auto"/>
        <w:right w:val="none" w:sz="0" w:space="0" w:color="auto"/>
      </w:divBdr>
    </w:div>
    <w:div w:id="1200124731">
      <w:bodyDiv w:val="1"/>
      <w:marLeft w:val="0"/>
      <w:marRight w:val="0"/>
      <w:marTop w:val="0"/>
      <w:marBottom w:val="0"/>
      <w:divBdr>
        <w:top w:val="none" w:sz="0" w:space="0" w:color="auto"/>
        <w:left w:val="none" w:sz="0" w:space="0" w:color="auto"/>
        <w:bottom w:val="none" w:sz="0" w:space="0" w:color="auto"/>
        <w:right w:val="none" w:sz="0" w:space="0" w:color="auto"/>
      </w:divBdr>
    </w:div>
    <w:div w:id="1202017498">
      <w:bodyDiv w:val="1"/>
      <w:marLeft w:val="0"/>
      <w:marRight w:val="0"/>
      <w:marTop w:val="0"/>
      <w:marBottom w:val="0"/>
      <w:divBdr>
        <w:top w:val="none" w:sz="0" w:space="0" w:color="auto"/>
        <w:left w:val="none" w:sz="0" w:space="0" w:color="auto"/>
        <w:bottom w:val="none" w:sz="0" w:space="0" w:color="auto"/>
        <w:right w:val="none" w:sz="0" w:space="0" w:color="auto"/>
      </w:divBdr>
      <w:divsChild>
        <w:div w:id="1776050278">
          <w:marLeft w:val="0"/>
          <w:marRight w:val="0"/>
          <w:marTop w:val="0"/>
          <w:marBottom w:val="0"/>
          <w:divBdr>
            <w:top w:val="none" w:sz="0" w:space="0" w:color="auto"/>
            <w:left w:val="none" w:sz="0" w:space="0" w:color="auto"/>
            <w:bottom w:val="none" w:sz="0" w:space="0" w:color="auto"/>
            <w:right w:val="none" w:sz="0" w:space="0" w:color="auto"/>
          </w:divBdr>
        </w:div>
      </w:divsChild>
    </w:div>
    <w:div w:id="1223252261">
      <w:bodyDiv w:val="1"/>
      <w:marLeft w:val="0"/>
      <w:marRight w:val="0"/>
      <w:marTop w:val="0"/>
      <w:marBottom w:val="0"/>
      <w:divBdr>
        <w:top w:val="none" w:sz="0" w:space="0" w:color="auto"/>
        <w:left w:val="none" w:sz="0" w:space="0" w:color="auto"/>
        <w:bottom w:val="none" w:sz="0" w:space="0" w:color="auto"/>
        <w:right w:val="none" w:sz="0" w:space="0" w:color="auto"/>
      </w:divBdr>
    </w:div>
    <w:div w:id="1244801811">
      <w:bodyDiv w:val="1"/>
      <w:marLeft w:val="0"/>
      <w:marRight w:val="0"/>
      <w:marTop w:val="0"/>
      <w:marBottom w:val="0"/>
      <w:divBdr>
        <w:top w:val="none" w:sz="0" w:space="0" w:color="auto"/>
        <w:left w:val="none" w:sz="0" w:space="0" w:color="auto"/>
        <w:bottom w:val="none" w:sz="0" w:space="0" w:color="auto"/>
        <w:right w:val="none" w:sz="0" w:space="0" w:color="auto"/>
      </w:divBdr>
    </w:div>
    <w:div w:id="1248150932">
      <w:bodyDiv w:val="1"/>
      <w:marLeft w:val="0"/>
      <w:marRight w:val="0"/>
      <w:marTop w:val="0"/>
      <w:marBottom w:val="0"/>
      <w:divBdr>
        <w:top w:val="none" w:sz="0" w:space="0" w:color="auto"/>
        <w:left w:val="none" w:sz="0" w:space="0" w:color="auto"/>
        <w:bottom w:val="none" w:sz="0" w:space="0" w:color="auto"/>
        <w:right w:val="none" w:sz="0" w:space="0" w:color="auto"/>
      </w:divBdr>
    </w:div>
    <w:div w:id="1254820171">
      <w:bodyDiv w:val="1"/>
      <w:marLeft w:val="0"/>
      <w:marRight w:val="0"/>
      <w:marTop w:val="0"/>
      <w:marBottom w:val="0"/>
      <w:divBdr>
        <w:top w:val="none" w:sz="0" w:space="0" w:color="auto"/>
        <w:left w:val="none" w:sz="0" w:space="0" w:color="auto"/>
        <w:bottom w:val="none" w:sz="0" w:space="0" w:color="auto"/>
        <w:right w:val="none" w:sz="0" w:space="0" w:color="auto"/>
      </w:divBdr>
    </w:div>
    <w:div w:id="1264454858">
      <w:bodyDiv w:val="1"/>
      <w:marLeft w:val="0"/>
      <w:marRight w:val="0"/>
      <w:marTop w:val="0"/>
      <w:marBottom w:val="0"/>
      <w:divBdr>
        <w:top w:val="none" w:sz="0" w:space="0" w:color="auto"/>
        <w:left w:val="none" w:sz="0" w:space="0" w:color="auto"/>
        <w:bottom w:val="none" w:sz="0" w:space="0" w:color="auto"/>
        <w:right w:val="none" w:sz="0" w:space="0" w:color="auto"/>
      </w:divBdr>
    </w:div>
    <w:div w:id="1298299385">
      <w:bodyDiv w:val="1"/>
      <w:marLeft w:val="0"/>
      <w:marRight w:val="0"/>
      <w:marTop w:val="0"/>
      <w:marBottom w:val="0"/>
      <w:divBdr>
        <w:top w:val="none" w:sz="0" w:space="0" w:color="auto"/>
        <w:left w:val="none" w:sz="0" w:space="0" w:color="auto"/>
        <w:bottom w:val="none" w:sz="0" w:space="0" w:color="auto"/>
        <w:right w:val="none" w:sz="0" w:space="0" w:color="auto"/>
      </w:divBdr>
    </w:div>
    <w:div w:id="1332837066">
      <w:bodyDiv w:val="1"/>
      <w:marLeft w:val="0"/>
      <w:marRight w:val="0"/>
      <w:marTop w:val="0"/>
      <w:marBottom w:val="0"/>
      <w:divBdr>
        <w:top w:val="none" w:sz="0" w:space="0" w:color="auto"/>
        <w:left w:val="none" w:sz="0" w:space="0" w:color="auto"/>
        <w:bottom w:val="none" w:sz="0" w:space="0" w:color="auto"/>
        <w:right w:val="none" w:sz="0" w:space="0" w:color="auto"/>
      </w:divBdr>
    </w:div>
    <w:div w:id="1337001130">
      <w:bodyDiv w:val="1"/>
      <w:marLeft w:val="0"/>
      <w:marRight w:val="0"/>
      <w:marTop w:val="0"/>
      <w:marBottom w:val="0"/>
      <w:divBdr>
        <w:top w:val="none" w:sz="0" w:space="0" w:color="auto"/>
        <w:left w:val="none" w:sz="0" w:space="0" w:color="auto"/>
        <w:bottom w:val="none" w:sz="0" w:space="0" w:color="auto"/>
        <w:right w:val="none" w:sz="0" w:space="0" w:color="auto"/>
      </w:divBdr>
    </w:div>
    <w:div w:id="1337880475">
      <w:bodyDiv w:val="1"/>
      <w:marLeft w:val="0"/>
      <w:marRight w:val="0"/>
      <w:marTop w:val="0"/>
      <w:marBottom w:val="0"/>
      <w:divBdr>
        <w:top w:val="none" w:sz="0" w:space="0" w:color="auto"/>
        <w:left w:val="none" w:sz="0" w:space="0" w:color="auto"/>
        <w:bottom w:val="none" w:sz="0" w:space="0" w:color="auto"/>
        <w:right w:val="none" w:sz="0" w:space="0" w:color="auto"/>
      </w:divBdr>
    </w:div>
    <w:div w:id="1353189827">
      <w:bodyDiv w:val="1"/>
      <w:marLeft w:val="0"/>
      <w:marRight w:val="0"/>
      <w:marTop w:val="0"/>
      <w:marBottom w:val="0"/>
      <w:divBdr>
        <w:top w:val="none" w:sz="0" w:space="0" w:color="auto"/>
        <w:left w:val="none" w:sz="0" w:space="0" w:color="auto"/>
        <w:bottom w:val="none" w:sz="0" w:space="0" w:color="auto"/>
        <w:right w:val="none" w:sz="0" w:space="0" w:color="auto"/>
      </w:divBdr>
    </w:div>
    <w:div w:id="1371808264">
      <w:bodyDiv w:val="1"/>
      <w:marLeft w:val="0"/>
      <w:marRight w:val="0"/>
      <w:marTop w:val="0"/>
      <w:marBottom w:val="0"/>
      <w:divBdr>
        <w:top w:val="none" w:sz="0" w:space="0" w:color="auto"/>
        <w:left w:val="none" w:sz="0" w:space="0" w:color="auto"/>
        <w:bottom w:val="none" w:sz="0" w:space="0" w:color="auto"/>
        <w:right w:val="none" w:sz="0" w:space="0" w:color="auto"/>
      </w:divBdr>
    </w:div>
    <w:div w:id="1389036522">
      <w:bodyDiv w:val="1"/>
      <w:marLeft w:val="0"/>
      <w:marRight w:val="0"/>
      <w:marTop w:val="0"/>
      <w:marBottom w:val="0"/>
      <w:divBdr>
        <w:top w:val="none" w:sz="0" w:space="0" w:color="auto"/>
        <w:left w:val="none" w:sz="0" w:space="0" w:color="auto"/>
        <w:bottom w:val="none" w:sz="0" w:space="0" w:color="auto"/>
        <w:right w:val="none" w:sz="0" w:space="0" w:color="auto"/>
      </w:divBdr>
    </w:div>
    <w:div w:id="1459449418">
      <w:bodyDiv w:val="1"/>
      <w:marLeft w:val="0"/>
      <w:marRight w:val="0"/>
      <w:marTop w:val="0"/>
      <w:marBottom w:val="0"/>
      <w:divBdr>
        <w:top w:val="none" w:sz="0" w:space="0" w:color="auto"/>
        <w:left w:val="none" w:sz="0" w:space="0" w:color="auto"/>
        <w:bottom w:val="none" w:sz="0" w:space="0" w:color="auto"/>
        <w:right w:val="none" w:sz="0" w:space="0" w:color="auto"/>
      </w:divBdr>
      <w:divsChild>
        <w:div w:id="168908351">
          <w:marLeft w:val="0"/>
          <w:marRight w:val="0"/>
          <w:marTop w:val="0"/>
          <w:marBottom w:val="0"/>
          <w:divBdr>
            <w:top w:val="none" w:sz="0" w:space="0" w:color="auto"/>
            <w:left w:val="none" w:sz="0" w:space="0" w:color="auto"/>
            <w:bottom w:val="none" w:sz="0" w:space="0" w:color="auto"/>
            <w:right w:val="none" w:sz="0" w:space="0" w:color="auto"/>
          </w:divBdr>
        </w:div>
        <w:div w:id="255946784">
          <w:marLeft w:val="0"/>
          <w:marRight w:val="0"/>
          <w:marTop w:val="0"/>
          <w:marBottom w:val="0"/>
          <w:divBdr>
            <w:top w:val="none" w:sz="0" w:space="0" w:color="auto"/>
            <w:left w:val="none" w:sz="0" w:space="0" w:color="auto"/>
            <w:bottom w:val="none" w:sz="0" w:space="0" w:color="auto"/>
            <w:right w:val="none" w:sz="0" w:space="0" w:color="auto"/>
          </w:divBdr>
        </w:div>
        <w:div w:id="657001443">
          <w:marLeft w:val="0"/>
          <w:marRight w:val="0"/>
          <w:marTop w:val="0"/>
          <w:marBottom w:val="0"/>
          <w:divBdr>
            <w:top w:val="none" w:sz="0" w:space="0" w:color="auto"/>
            <w:left w:val="none" w:sz="0" w:space="0" w:color="auto"/>
            <w:bottom w:val="none" w:sz="0" w:space="0" w:color="auto"/>
            <w:right w:val="none" w:sz="0" w:space="0" w:color="auto"/>
          </w:divBdr>
        </w:div>
        <w:div w:id="910696889">
          <w:marLeft w:val="0"/>
          <w:marRight w:val="0"/>
          <w:marTop w:val="0"/>
          <w:marBottom w:val="0"/>
          <w:divBdr>
            <w:top w:val="none" w:sz="0" w:space="0" w:color="auto"/>
            <w:left w:val="none" w:sz="0" w:space="0" w:color="auto"/>
            <w:bottom w:val="none" w:sz="0" w:space="0" w:color="auto"/>
            <w:right w:val="none" w:sz="0" w:space="0" w:color="auto"/>
          </w:divBdr>
        </w:div>
        <w:div w:id="1152020097">
          <w:marLeft w:val="0"/>
          <w:marRight w:val="0"/>
          <w:marTop w:val="0"/>
          <w:marBottom w:val="0"/>
          <w:divBdr>
            <w:top w:val="none" w:sz="0" w:space="0" w:color="auto"/>
            <w:left w:val="none" w:sz="0" w:space="0" w:color="auto"/>
            <w:bottom w:val="none" w:sz="0" w:space="0" w:color="auto"/>
            <w:right w:val="none" w:sz="0" w:space="0" w:color="auto"/>
          </w:divBdr>
        </w:div>
        <w:div w:id="1716584662">
          <w:marLeft w:val="0"/>
          <w:marRight w:val="0"/>
          <w:marTop w:val="0"/>
          <w:marBottom w:val="0"/>
          <w:divBdr>
            <w:top w:val="none" w:sz="0" w:space="0" w:color="auto"/>
            <w:left w:val="none" w:sz="0" w:space="0" w:color="auto"/>
            <w:bottom w:val="none" w:sz="0" w:space="0" w:color="auto"/>
            <w:right w:val="none" w:sz="0" w:space="0" w:color="auto"/>
          </w:divBdr>
        </w:div>
      </w:divsChild>
    </w:div>
    <w:div w:id="1502618083">
      <w:bodyDiv w:val="1"/>
      <w:marLeft w:val="0"/>
      <w:marRight w:val="0"/>
      <w:marTop w:val="0"/>
      <w:marBottom w:val="0"/>
      <w:divBdr>
        <w:top w:val="none" w:sz="0" w:space="0" w:color="auto"/>
        <w:left w:val="none" w:sz="0" w:space="0" w:color="auto"/>
        <w:bottom w:val="none" w:sz="0" w:space="0" w:color="auto"/>
        <w:right w:val="none" w:sz="0" w:space="0" w:color="auto"/>
      </w:divBdr>
    </w:div>
    <w:div w:id="1544101143">
      <w:bodyDiv w:val="1"/>
      <w:marLeft w:val="0"/>
      <w:marRight w:val="0"/>
      <w:marTop w:val="0"/>
      <w:marBottom w:val="0"/>
      <w:divBdr>
        <w:top w:val="none" w:sz="0" w:space="0" w:color="auto"/>
        <w:left w:val="none" w:sz="0" w:space="0" w:color="auto"/>
        <w:bottom w:val="none" w:sz="0" w:space="0" w:color="auto"/>
        <w:right w:val="none" w:sz="0" w:space="0" w:color="auto"/>
      </w:divBdr>
    </w:div>
    <w:div w:id="1608123469">
      <w:bodyDiv w:val="1"/>
      <w:marLeft w:val="0"/>
      <w:marRight w:val="0"/>
      <w:marTop w:val="0"/>
      <w:marBottom w:val="0"/>
      <w:divBdr>
        <w:top w:val="none" w:sz="0" w:space="0" w:color="auto"/>
        <w:left w:val="none" w:sz="0" w:space="0" w:color="auto"/>
        <w:bottom w:val="none" w:sz="0" w:space="0" w:color="auto"/>
        <w:right w:val="none" w:sz="0" w:space="0" w:color="auto"/>
      </w:divBdr>
    </w:div>
    <w:div w:id="1634020749">
      <w:bodyDiv w:val="1"/>
      <w:marLeft w:val="0"/>
      <w:marRight w:val="0"/>
      <w:marTop w:val="0"/>
      <w:marBottom w:val="0"/>
      <w:divBdr>
        <w:top w:val="none" w:sz="0" w:space="0" w:color="auto"/>
        <w:left w:val="none" w:sz="0" w:space="0" w:color="auto"/>
        <w:bottom w:val="none" w:sz="0" w:space="0" w:color="auto"/>
        <w:right w:val="none" w:sz="0" w:space="0" w:color="auto"/>
      </w:divBdr>
      <w:divsChild>
        <w:div w:id="1634409100">
          <w:marLeft w:val="0"/>
          <w:marRight w:val="0"/>
          <w:marTop w:val="0"/>
          <w:marBottom w:val="0"/>
          <w:divBdr>
            <w:top w:val="none" w:sz="0" w:space="0" w:color="auto"/>
            <w:left w:val="none" w:sz="0" w:space="0" w:color="auto"/>
            <w:bottom w:val="none" w:sz="0" w:space="0" w:color="auto"/>
            <w:right w:val="none" w:sz="0" w:space="0" w:color="auto"/>
          </w:divBdr>
        </w:div>
        <w:div w:id="70586245">
          <w:marLeft w:val="0"/>
          <w:marRight w:val="0"/>
          <w:marTop w:val="0"/>
          <w:marBottom w:val="0"/>
          <w:divBdr>
            <w:top w:val="none" w:sz="0" w:space="0" w:color="auto"/>
            <w:left w:val="none" w:sz="0" w:space="0" w:color="auto"/>
            <w:bottom w:val="none" w:sz="0" w:space="0" w:color="auto"/>
            <w:right w:val="none" w:sz="0" w:space="0" w:color="auto"/>
          </w:divBdr>
        </w:div>
      </w:divsChild>
    </w:div>
    <w:div w:id="1676305887">
      <w:bodyDiv w:val="1"/>
      <w:marLeft w:val="0"/>
      <w:marRight w:val="0"/>
      <w:marTop w:val="0"/>
      <w:marBottom w:val="0"/>
      <w:divBdr>
        <w:top w:val="none" w:sz="0" w:space="0" w:color="auto"/>
        <w:left w:val="none" w:sz="0" w:space="0" w:color="auto"/>
        <w:bottom w:val="none" w:sz="0" w:space="0" w:color="auto"/>
        <w:right w:val="none" w:sz="0" w:space="0" w:color="auto"/>
      </w:divBdr>
    </w:div>
    <w:div w:id="1684471821">
      <w:bodyDiv w:val="1"/>
      <w:marLeft w:val="0"/>
      <w:marRight w:val="0"/>
      <w:marTop w:val="0"/>
      <w:marBottom w:val="0"/>
      <w:divBdr>
        <w:top w:val="none" w:sz="0" w:space="0" w:color="auto"/>
        <w:left w:val="none" w:sz="0" w:space="0" w:color="auto"/>
        <w:bottom w:val="none" w:sz="0" w:space="0" w:color="auto"/>
        <w:right w:val="none" w:sz="0" w:space="0" w:color="auto"/>
      </w:divBdr>
    </w:div>
    <w:div w:id="1699699525">
      <w:bodyDiv w:val="1"/>
      <w:marLeft w:val="0"/>
      <w:marRight w:val="0"/>
      <w:marTop w:val="0"/>
      <w:marBottom w:val="0"/>
      <w:divBdr>
        <w:top w:val="none" w:sz="0" w:space="0" w:color="auto"/>
        <w:left w:val="none" w:sz="0" w:space="0" w:color="auto"/>
        <w:bottom w:val="none" w:sz="0" w:space="0" w:color="auto"/>
        <w:right w:val="none" w:sz="0" w:space="0" w:color="auto"/>
      </w:divBdr>
    </w:div>
    <w:div w:id="1779368267">
      <w:bodyDiv w:val="1"/>
      <w:marLeft w:val="0"/>
      <w:marRight w:val="0"/>
      <w:marTop w:val="0"/>
      <w:marBottom w:val="0"/>
      <w:divBdr>
        <w:top w:val="none" w:sz="0" w:space="0" w:color="auto"/>
        <w:left w:val="none" w:sz="0" w:space="0" w:color="auto"/>
        <w:bottom w:val="none" w:sz="0" w:space="0" w:color="auto"/>
        <w:right w:val="none" w:sz="0" w:space="0" w:color="auto"/>
      </w:divBdr>
    </w:div>
    <w:div w:id="1785466593">
      <w:bodyDiv w:val="1"/>
      <w:marLeft w:val="0"/>
      <w:marRight w:val="0"/>
      <w:marTop w:val="0"/>
      <w:marBottom w:val="0"/>
      <w:divBdr>
        <w:top w:val="none" w:sz="0" w:space="0" w:color="auto"/>
        <w:left w:val="none" w:sz="0" w:space="0" w:color="auto"/>
        <w:bottom w:val="none" w:sz="0" w:space="0" w:color="auto"/>
        <w:right w:val="none" w:sz="0" w:space="0" w:color="auto"/>
      </w:divBdr>
    </w:div>
    <w:div w:id="1811441011">
      <w:bodyDiv w:val="1"/>
      <w:marLeft w:val="0"/>
      <w:marRight w:val="0"/>
      <w:marTop w:val="0"/>
      <w:marBottom w:val="0"/>
      <w:divBdr>
        <w:top w:val="none" w:sz="0" w:space="0" w:color="auto"/>
        <w:left w:val="none" w:sz="0" w:space="0" w:color="auto"/>
        <w:bottom w:val="none" w:sz="0" w:space="0" w:color="auto"/>
        <w:right w:val="none" w:sz="0" w:space="0" w:color="auto"/>
      </w:divBdr>
    </w:div>
    <w:div w:id="1831829366">
      <w:bodyDiv w:val="1"/>
      <w:marLeft w:val="0"/>
      <w:marRight w:val="0"/>
      <w:marTop w:val="0"/>
      <w:marBottom w:val="0"/>
      <w:divBdr>
        <w:top w:val="none" w:sz="0" w:space="0" w:color="auto"/>
        <w:left w:val="none" w:sz="0" w:space="0" w:color="auto"/>
        <w:bottom w:val="none" w:sz="0" w:space="0" w:color="auto"/>
        <w:right w:val="none" w:sz="0" w:space="0" w:color="auto"/>
      </w:divBdr>
    </w:div>
    <w:div w:id="1839732394">
      <w:bodyDiv w:val="1"/>
      <w:marLeft w:val="0"/>
      <w:marRight w:val="0"/>
      <w:marTop w:val="0"/>
      <w:marBottom w:val="0"/>
      <w:divBdr>
        <w:top w:val="none" w:sz="0" w:space="0" w:color="auto"/>
        <w:left w:val="none" w:sz="0" w:space="0" w:color="auto"/>
        <w:bottom w:val="none" w:sz="0" w:space="0" w:color="auto"/>
        <w:right w:val="none" w:sz="0" w:space="0" w:color="auto"/>
      </w:divBdr>
      <w:divsChild>
        <w:div w:id="363948022">
          <w:marLeft w:val="0"/>
          <w:marRight w:val="0"/>
          <w:marTop w:val="0"/>
          <w:marBottom w:val="0"/>
          <w:divBdr>
            <w:top w:val="none" w:sz="0" w:space="0" w:color="auto"/>
            <w:left w:val="none" w:sz="0" w:space="0" w:color="auto"/>
            <w:bottom w:val="none" w:sz="0" w:space="0" w:color="auto"/>
            <w:right w:val="none" w:sz="0" w:space="0" w:color="auto"/>
          </w:divBdr>
        </w:div>
        <w:div w:id="1744451420">
          <w:marLeft w:val="0"/>
          <w:marRight w:val="0"/>
          <w:marTop w:val="0"/>
          <w:marBottom w:val="0"/>
          <w:divBdr>
            <w:top w:val="none" w:sz="0" w:space="0" w:color="auto"/>
            <w:left w:val="none" w:sz="0" w:space="0" w:color="auto"/>
            <w:bottom w:val="none" w:sz="0" w:space="0" w:color="auto"/>
            <w:right w:val="none" w:sz="0" w:space="0" w:color="auto"/>
          </w:divBdr>
        </w:div>
      </w:divsChild>
    </w:div>
    <w:div w:id="1845974074">
      <w:bodyDiv w:val="1"/>
      <w:marLeft w:val="0"/>
      <w:marRight w:val="0"/>
      <w:marTop w:val="0"/>
      <w:marBottom w:val="0"/>
      <w:divBdr>
        <w:top w:val="none" w:sz="0" w:space="0" w:color="auto"/>
        <w:left w:val="none" w:sz="0" w:space="0" w:color="auto"/>
        <w:bottom w:val="none" w:sz="0" w:space="0" w:color="auto"/>
        <w:right w:val="none" w:sz="0" w:space="0" w:color="auto"/>
      </w:divBdr>
    </w:div>
    <w:div w:id="1919748982">
      <w:bodyDiv w:val="1"/>
      <w:marLeft w:val="0"/>
      <w:marRight w:val="0"/>
      <w:marTop w:val="0"/>
      <w:marBottom w:val="0"/>
      <w:divBdr>
        <w:top w:val="none" w:sz="0" w:space="0" w:color="auto"/>
        <w:left w:val="none" w:sz="0" w:space="0" w:color="auto"/>
        <w:bottom w:val="none" w:sz="0" w:space="0" w:color="auto"/>
        <w:right w:val="none" w:sz="0" w:space="0" w:color="auto"/>
      </w:divBdr>
    </w:div>
    <w:div w:id="1944221046">
      <w:bodyDiv w:val="1"/>
      <w:marLeft w:val="0"/>
      <w:marRight w:val="0"/>
      <w:marTop w:val="0"/>
      <w:marBottom w:val="0"/>
      <w:divBdr>
        <w:top w:val="none" w:sz="0" w:space="0" w:color="auto"/>
        <w:left w:val="none" w:sz="0" w:space="0" w:color="auto"/>
        <w:bottom w:val="none" w:sz="0" w:space="0" w:color="auto"/>
        <w:right w:val="none" w:sz="0" w:space="0" w:color="auto"/>
      </w:divBdr>
    </w:div>
    <w:div w:id="1964539163">
      <w:bodyDiv w:val="1"/>
      <w:marLeft w:val="0"/>
      <w:marRight w:val="0"/>
      <w:marTop w:val="0"/>
      <w:marBottom w:val="0"/>
      <w:divBdr>
        <w:top w:val="none" w:sz="0" w:space="0" w:color="auto"/>
        <w:left w:val="none" w:sz="0" w:space="0" w:color="auto"/>
        <w:bottom w:val="none" w:sz="0" w:space="0" w:color="auto"/>
        <w:right w:val="none" w:sz="0" w:space="0" w:color="auto"/>
      </w:divBdr>
    </w:div>
    <w:div w:id="1977566494">
      <w:bodyDiv w:val="1"/>
      <w:marLeft w:val="0"/>
      <w:marRight w:val="0"/>
      <w:marTop w:val="0"/>
      <w:marBottom w:val="0"/>
      <w:divBdr>
        <w:top w:val="none" w:sz="0" w:space="0" w:color="auto"/>
        <w:left w:val="none" w:sz="0" w:space="0" w:color="auto"/>
        <w:bottom w:val="none" w:sz="0" w:space="0" w:color="auto"/>
        <w:right w:val="none" w:sz="0" w:space="0" w:color="auto"/>
      </w:divBdr>
    </w:div>
    <w:div w:id="2109084490">
      <w:bodyDiv w:val="1"/>
      <w:marLeft w:val="0"/>
      <w:marRight w:val="0"/>
      <w:marTop w:val="0"/>
      <w:marBottom w:val="0"/>
      <w:divBdr>
        <w:top w:val="none" w:sz="0" w:space="0" w:color="auto"/>
        <w:left w:val="none" w:sz="0" w:space="0" w:color="auto"/>
        <w:bottom w:val="none" w:sz="0" w:space="0" w:color="auto"/>
        <w:right w:val="none" w:sz="0" w:space="0" w:color="auto"/>
      </w:divBdr>
    </w:div>
    <w:div w:id="2110080082">
      <w:bodyDiv w:val="1"/>
      <w:marLeft w:val="0"/>
      <w:marRight w:val="0"/>
      <w:marTop w:val="0"/>
      <w:marBottom w:val="0"/>
      <w:divBdr>
        <w:top w:val="none" w:sz="0" w:space="0" w:color="auto"/>
        <w:left w:val="none" w:sz="0" w:space="0" w:color="auto"/>
        <w:bottom w:val="none" w:sz="0" w:space="0" w:color="auto"/>
        <w:right w:val="none" w:sz="0" w:space="0" w:color="auto"/>
      </w:divBdr>
    </w:div>
    <w:div w:id="2131702813">
      <w:bodyDiv w:val="1"/>
      <w:marLeft w:val="0"/>
      <w:marRight w:val="0"/>
      <w:marTop w:val="0"/>
      <w:marBottom w:val="0"/>
      <w:divBdr>
        <w:top w:val="none" w:sz="0" w:space="0" w:color="auto"/>
        <w:left w:val="none" w:sz="0" w:space="0" w:color="auto"/>
        <w:bottom w:val="none" w:sz="0" w:space="0" w:color="auto"/>
        <w:right w:val="none" w:sz="0" w:space="0" w:color="auto"/>
      </w:divBdr>
    </w:div>
    <w:div w:id="2134980457">
      <w:bodyDiv w:val="1"/>
      <w:marLeft w:val="0"/>
      <w:marRight w:val="0"/>
      <w:marTop w:val="0"/>
      <w:marBottom w:val="0"/>
      <w:divBdr>
        <w:top w:val="none" w:sz="0" w:space="0" w:color="auto"/>
        <w:left w:val="none" w:sz="0" w:space="0" w:color="auto"/>
        <w:bottom w:val="none" w:sz="0" w:space="0" w:color="auto"/>
        <w:right w:val="none" w:sz="0" w:space="0" w:color="auto"/>
      </w:divBdr>
      <w:divsChild>
        <w:div w:id="1587424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vana.prochazkova@cbr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restcom.cz/" TargetMode="External"/><Relationship Id="rId17" Type="http://schemas.openxmlformats.org/officeDocument/2006/relationships/hyperlink" Target="http://www.cbre.cz/" TargetMode="External"/><Relationship Id="rId2" Type="http://schemas.openxmlformats.org/officeDocument/2006/relationships/customXml" Target="../customXml/item2.xml"/><Relationship Id="rId16" Type="http://schemas.openxmlformats.org/officeDocument/2006/relationships/hyperlink" Target="https://www.instagram.com/cbre_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mila.cadkova@crestcom.cz" TargetMode="External"/><Relationship Id="rId5" Type="http://schemas.openxmlformats.org/officeDocument/2006/relationships/numbering" Target="numbering.xml"/><Relationship Id="rId15" Type="http://schemas.openxmlformats.org/officeDocument/2006/relationships/hyperlink" Target="https://www.linkedin.com/company/3585825?trk=tyah&amp;trkInfo=clickedVertical%253Acompany%252Cidx%253A1-1-1%252CtarId%253A1431360641868%252Ctas%253Acbre%2520czech%22%20\t%20%22_blan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pages/CBRE-News/626929170775263?ref=ts&amp;fref=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razova\Downloads\2021_press_release_template.dotx" TargetMode="External"/></Relationships>
</file>

<file path=word/theme/theme1.xml><?xml version="1.0" encoding="utf-8"?>
<a:theme xmlns:a="http://schemas.openxmlformats.org/drawingml/2006/main" name="CBRE 2021 Theme">
  <a:themeElements>
    <a:clrScheme name="CBRE 2021">
      <a:dk1>
        <a:srgbClr val="425254"/>
      </a:dk1>
      <a:lt1>
        <a:srgbClr val="FFFFFF"/>
      </a:lt1>
      <a:dk2>
        <a:srgbClr val="DCD99A"/>
      </a:dk2>
      <a:lt2>
        <a:srgbClr val="7FBBAD"/>
      </a:lt2>
      <a:accent1>
        <a:srgbClr val="1F3765"/>
      </a:accent1>
      <a:accent2>
        <a:srgbClr val="3E7DA6"/>
      </a:accent2>
      <a:accent3>
        <a:srgbClr val="CAD1D3"/>
      </a:accent3>
      <a:accent4>
        <a:srgbClr val="96B3B6"/>
      </a:accent4>
      <a:accent5>
        <a:srgbClr val="7F8481"/>
      </a:accent5>
      <a:accent6>
        <a:srgbClr val="003D30"/>
      </a:accent6>
      <a:hlink>
        <a:srgbClr val="80BBAD"/>
      </a:hlink>
      <a:folHlink>
        <a:srgbClr val="CAD1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7" ma:contentTypeDescription="Vytvoří nový dokument" ma:contentTypeScope="" ma:versionID="b7577fce7baacbed1a778c3a703ac2db">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bbe729302ce6fcac4303a14c83bf04be"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ED8B6-C8B9-492E-BC76-2C95D34B0F11}">
  <ds:schemaRefs>
    <ds:schemaRef ds:uri="http://schemas.microsoft.com/sharepoint/v3/contenttype/forms"/>
  </ds:schemaRefs>
</ds:datastoreItem>
</file>

<file path=customXml/itemProps2.xml><?xml version="1.0" encoding="utf-8"?>
<ds:datastoreItem xmlns:ds="http://schemas.openxmlformats.org/officeDocument/2006/customXml" ds:itemID="{90ABD540-E831-4371-98B5-152F64B03E9A}">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3.xml><?xml version="1.0" encoding="utf-8"?>
<ds:datastoreItem xmlns:ds="http://schemas.openxmlformats.org/officeDocument/2006/customXml" ds:itemID="{5237DCA8-4AAB-4551-87DC-06C3A48A7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5A12B4-940F-4572-8B0D-0A25BEC7C384}">
  <ds:schemaRefs>
    <ds:schemaRef ds:uri="http://schemas.openxmlformats.org/officeDocument/2006/bibliography"/>
  </ds:schemaRefs>
</ds:datastoreItem>
</file>

<file path=docMetadata/LabelInfo.xml><?xml version="1.0" encoding="utf-8"?>
<clbl:labelList xmlns:clbl="http://schemas.microsoft.com/office/2020/mipLabelMetadata">
  <clbl:label id="{bb24e89f-6132-424b-9c64-0340397f5d20}" enabled="1" method="Privileged" siteId="{0159e9d0-09a0-4edf-96ba-a3deea363c28}" contentBits="0" removed="0"/>
</clbl:labelList>
</file>

<file path=docProps/app.xml><?xml version="1.0" encoding="utf-8"?>
<Properties xmlns="http://schemas.openxmlformats.org/officeDocument/2006/extended-properties" xmlns:vt="http://schemas.openxmlformats.org/officeDocument/2006/docPropsVTypes">
  <Template>2021_press_release_template</Template>
  <TotalTime>12</TotalTime>
  <Pages>4</Pages>
  <Words>1687</Words>
  <Characters>9622</Characters>
  <Application>Microsoft Office Word</Application>
  <DocSecurity>0</DocSecurity>
  <Lines>80</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CBRE</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Mrazova, Renata @ Prague</dc:creator>
  <cp:keywords/>
  <cp:lastModifiedBy>Tereza Štosová</cp:lastModifiedBy>
  <cp:revision>12</cp:revision>
  <dcterms:created xsi:type="dcterms:W3CDTF">2024-05-24T11:31:00Z</dcterms:created>
  <dcterms:modified xsi:type="dcterms:W3CDTF">2024-05-29T08:06:00Z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